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F2" w:rsidRPr="009E46F2" w:rsidRDefault="009E46F2" w:rsidP="009E46F2">
      <w:pPr>
        <w:numPr>
          <w:ilvl w:val="0"/>
          <w:numId w:val="24"/>
        </w:numPr>
        <w:shd w:val="clear" w:color="auto" w:fill="FFFFFF"/>
        <w:spacing w:after="100" w:afterAutospacing="1" w:line="300" w:lineRule="atLeast"/>
        <w:ind w:left="0"/>
        <w:rPr>
          <w:rFonts w:ascii="Roboto" w:eastAsia="Times New Roman" w:hAnsi="Roboto" w:cs="Times New Roman"/>
          <w:color w:val="9094A3"/>
          <w:sz w:val="21"/>
          <w:szCs w:val="21"/>
          <w:lang w:eastAsia="ru-RU"/>
        </w:rPr>
      </w:pPr>
      <w:r w:rsidRPr="009E46F2">
        <w:rPr>
          <w:rFonts w:ascii="Roboto" w:eastAsia="Times New Roman" w:hAnsi="Roboto" w:cs="Times New Roman"/>
          <w:color w:val="9094A3"/>
          <w:sz w:val="21"/>
          <w:szCs w:val="21"/>
          <w:lang w:eastAsia="ru-RU"/>
        </w:rPr>
        <w:t>31 мая 2023, 08:05</w:t>
      </w:r>
    </w:p>
    <w:p w:rsidR="009E46F2" w:rsidRPr="009E46F2" w:rsidRDefault="009E46F2" w:rsidP="009E46F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Утверждено положение о государственной информационной системе «Информационно-аналитическая система оперативного мониторинга и оценки состояния и рисков научно-технического обеспечения развития сельского хозяйства»</w:t>
      </w:r>
    </w:p>
    <w:p w:rsidR="007C0120" w:rsidRDefault="007C0120" w:rsidP="007C01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</w:pP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Разъясняет заместитель Льговского межрайонного прокурора советник юстиции 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   </w:t>
      </w: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>Бабкин С.Ю.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E46F2" w:rsidRPr="009E46F2" w:rsidRDefault="009E46F2" w:rsidP="009E4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Постановлением Правительства РФ от 16.05.2023 № 762 «Об утверждении Положения о государственной информационной системе «Информационно-аналитическая система оперативного мониторинга и оценки состояния и рисков научно-технического обеспечения развития сельского хозяйства» утверждено положение о государственной информационной системе «Информационно-аналитическая система оперативного мониторинга и оценки состояния и рисков научно-технического обеспечения развития сельского хозяйства».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Информационная система содержит сведения, представленные заказчиками комплексных научно-технических проектов, подавшими заявки и прошедшими отбор на участие в реализации мероприятий Федеральной научно-технической программы развития сельского хозяйства на 2017 - 2030 годы, утвержденной постановлением Правительства Российской Федерации от 25 августа 2017 г. № 996, и участниками комплексных научно-технических проектов.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Положение определяет порядок развития и эксплуатации информационной системы, состав включаемых в нее сведений, порядок доступа к содержащейся в ней информации, порядок взаимодействия информационной системы с иными информационными системами.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В приложении приводится состав сведений и документов, размещаемых в информационной системе.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Постановление вступает в силу со дня его официального опубликования, за исключением отдельных положений, вступающих в силу с 1 января 2025 г.</w:t>
      </w:r>
    </w:p>
    <w:p w:rsidR="009E46F2" w:rsidRPr="009E46F2" w:rsidRDefault="009E46F2" w:rsidP="009E46F2">
      <w:pPr>
        <w:numPr>
          <w:ilvl w:val="0"/>
          <w:numId w:val="25"/>
        </w:numPr>
        <w:shd w:val="clear" w:color="auto" w:fill="FFFFFF"/>
        <w:spacing w:after="100" w:afterAutospacing="1" w:line="300" w:lineRule="atLeast"/>
        <w:ind w:left="0"/>
        <w:rPr>
          <w:rFonts w:ascii="Roboto" w:eastAsia="Times New Roman" w:hAnsi="Roboto" w:cs="Times New Roman"/>
          <w:color w:val="9094A3"/>
          <w:sz w:val="21"/>
          <w:szCs w:val="21"/>
          <w:lang w:eastAsia="ru-RU"/>
        </w:rPr>
      </w:pPr>
      <w:r w:rsidRPr="009E46F2">
        <w:rPr>
          <w:rFonts w:ascii="Roboto" w:eastAsia="Times New Roman" w:hAnsi="Roboto" w:cs="Times New Roman"/>
          <w:color w:val="9094A3"/>
          <w:sz w:val="21"/>
          <w:szCs w:val="21"/>
          <w:lang w:eastAsia="ru-RU"/>
        </w:rPr>
        <w:t>30 мая 2023, 14:04</w:t>
      </w:r>
    </w:p>
    <w:p w:rsidR="009E46F2" w:rsidRPr="009E46F2" w:rsidRDefault="009E46F2" w:rsidP="009E46F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Правительством утвержден новый порядок создания, реконструкции и поддержания в состоянии постоянной готовности к использованию систем оповещения населения</w:t>
      </w:r>
    </w:p>
    <w:p w:rsidR="007C0120" w:rsidRDefault="007C0120" w:rsidP="007C01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</w:pP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Разъясняет заместитель Льговского межрайонного прокурора советник юстиции 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   </w:t>
      </w: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>Бабкин С.Ю.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E46F2" w:rsidRPr="009E46F2" w:rsidRDefault="009E46F2" w:rsidP="009E4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Постановлением Правительства РФ от 17.05.2023 № 769 «О порядке создания, реконструкции и поддержания в состоянии постоянной готовности к использованию систем оповещения населения» утвержден новый порядок создания, реконструкции и поддержания 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в состоянии постоянной готовности к использованию систем оповещения населения.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Системы оповещения населения создаются для доведения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 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Документом определены, в частности, границы зон действия систем оповещения населения, случаи проведения их реконструкции, особенности разработки плана мероприятий, технического задания и проектно-технической документации на создание или реконструкцию систем оповещения населения, а также закреплен порядок проведения комплексных и технических проверок готовности систем оповещения населения. 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Указанное постановление вступает в силу с 1 сентября 2023 года, за исключением положения, для которого предусмотрен иной срок его вступления в силу, и действует до 1 сентября 2029 года.</w:t>
      </w:r>
    </w:p>
    <w:p w:rsidR="009E46F2" w:rsidRPr="009E46F2" w:rsidRDefault="009E46F2" w:rsidP="009E46F2">
      <w:pPr>
        <w:numPr>
          <w:ilvl w:val="0"/>
          <w:numId w:val="26"/>
        </w:numPr>
        <w:spacing w:after="100" w:afterAutospacing="1" w:line="300" w:lineRule="atLeast"/>
        <w:ind w:left="0"/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</w:pPr>
      <w:r w:rsidRPr="009E46F2"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  <w:t>25 мая 2023, 08:28</w:t>
      </w:r>
    </w:p>
    <w:p w:rsidR="009E46F2" w:rsidRPr="009E46F2" w:rsidRDefault="009E46F2" w:rsidP="009E46F2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Особенности правового положения отдельных лиц в новых регионах</w:t>
      </w:r>
    </w:p>
    <w:p w:rsidR="007C0120" w:rsidRDefault="007C0120" w:rsidP="007C01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</w:pP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Разъясняет заместитель Льговского межрайонного прокурора советник юстиции 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   </w:t>
      </w: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>Бабкин С.Ю.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E46F2" w:rsidRPr="009E46F2" w:rsidRDefault="009E46F2" w:rsidP="009E4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Указом Президента РФ от 27 апреля 2023 г. № 307 урегулированы особенности правового положения отдельных категорий иностранных граждан и лиц без гражданства в Российской Федерации.  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Так, с 30 сентября 2022 г. граждане Украины, Донецкой Народной Республики и Луганской Народной Республики признаются постоянно проживающими в России иностранцами, если на эту дату они проживали на новых территориях либо проживали на них и выехали в Россию и при этом заявили о своем желании сохранить имеющееся у них гражданство, не принесли присягу гражданина России или отказались ее приносить.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Указанные лица смогут пользоваться прежними документами до 1 июля 2024 года. После  указанной даты необходимо  оформление вида на жительство.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По общему правилу в отношении таких лиц не будут принимать решения о депортации, </w:t>
      </w:r>
      <w:proofErr w:type="spellStart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неразрешении</w:t>
      </w:r>
      <w:proofErr w:type="spellEnd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въезда и нежелательности пребывания в России, о сокращении срока временного пребывания, об аннулировании вида на жительство, о лишении статуса беженца или временного убежища.</w:t>
      </w:r>
    </w:p>
    <w:p w:rsidR="009E46F2" w:rsidRPr="009E46F2" w:rsidRDefault="009E46F2" w:rsidP="009E46F2">
      <w:pPr>
        <w:numPr>
          <w:ilvl w:val="0"/>
          <w:numId w:val="27"/>
        </w:numPr>
        <w:spacing w:after="100" w:afterAutospacing="1" w:line="300" w:lineRule="atLeast"/>
        <w:ind w:left="0"/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</w:pPr>
      <w:r w:rsidRPr="009E46F2"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  <w:t>23 мая 2023, 09:27</w:t>
      </w:r>
    </w:p>
    <w:p w:rsidR="009E46F2" w:rsidRPr="009E46F2" w:rsidRDefault="009E46F2" w:rsidP="009E46F2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За создание сайтов-двойников </w:t>
      </w:r>
      <w:proofErr w:type="spellStart"/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Росреестра</w:t>
      </w:r>
      <w:proofErr w:type="spellEnd"/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предусмотрена ответственность</w:t>
      </w:r>
    </w:p>
    <w:p w:rsidR="007C0120" w:rsidRDefault="007C0120" w:rsidP="007C01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</w:pP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Разъясняет заместитель Льговского межрайонного прокурора советник юстиции 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   </w:t>
      </w: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>Бабкин С.Ю.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E46F2" w:rsidRPr="009E46F2" w:rsidRDefault="009E46F2" w:rsidP="009E4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28 апреля 2023 г. № 151-ФЗ  внесены изменения в Кодекс Российской Федерации об административных правонарушениях.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Внесенными поправками предусмотрена ответственность за противоправное распространение сведений, содержащихся в Едином государственном реестре 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недвижимости.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За предоставление сведений из ЕГРН третьим лицам и создание для этого сайтов предусмотрено наказание в виде штрафа.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Штраф за первичное нарушение: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для граждан от 15 000 до 25 000 рублей;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для должностных лиц от 40 000 до 50 000 рублей;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для индивидуальных предпринимателей от 80 000 до 100 000 рублей;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для юридических лиц – 350 000 до 400 000 рублей.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За повторное нарушение: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для граждан – до 50 000 рублей;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- для юридических лиц – до 600 000 </w:t>
      </w:r>
      <w:proofErr w:type="spellStart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руублей</w:t>
      </w:r>
      <w:proofErr w:type="spellEnd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Кроме того, должностным лицам грозит дисквалификация на срок два года.</w:t>
      </w:r>
    </w:p>
    <w:p w:rsidR="009E46F2" w:rsidRPr="009E46F2" w:rsidRDefault="009E46F2" w:rsidP="009E46F2">
      <w:pPr>
        <w:numPr>
          <w:ilvl w:val="0"/>
          <w:numId w:val="28"/>
        </w:numPr>
        <w:shd w:val="clear" w:color="auto" w:fill="FFFFFF"/>
        <w:spacing w:after="100" w:afterAutospacing="1" w:line="300" w:lineRule="atLeast"/>
        <w:ind w:left="0"/>
        <w:rPr>
          <w:rFonts w:ascii="Roboto" w:eastAsia="Times New Roman" w:hAnsi="Roboto" w:cs="Times New Roman"/>
          <w:color w:val="9094A3"/>
          <w:sz w:val="21"/>
          <w:szCs w:val="21"/>
          <w:lang w:eastAsia="ru-RU"/>
        </w:rPr>
      </w:pPr>
      <w:r w:rsidRPr="009E46F2">
        <w:rPr>
          <w:rFonts w:ascii="Roboto" w:eastAsia="Times New Roman" w:hAnsi="Roboto" w:cs="Times New Roman"/>
          <w:color w:val="9094A3"/>
          <w:sz w:val="21"/>
          <w:szCs w:val="21"/>
          <w:lang w:eastAsia="ru-RU"/>
        </w:rPr>
        <w:t>22 мая 2023, 17:26</w:t>
      </w:r>
    </w:p>
    <w:p w:rsidR="009E46F2" w:rsidRPr="009E46F2" w:rsidRDefault="009E46F2" w:rsidP="009E46F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Наказание за правонарушение в сфере </w:t>
      </w:r>
      <w:proofErr w:type="spellStart"/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гособоронзаказа</w:t>
      </w:r>
      <w:proofErr w:type="spellEnd"/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ужесточено</w:t>
      </w:r>
    </w:p>
    <w:p w:rsidR="007C0120" w:rsidRDefault="007C0120" w:rsidP="007C01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</w:pP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Разъясняет заместитель Льговского межрайонного прокурора советник юстиции 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   </w:t>
      </w: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>Бабкин С.Ю.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E46F2" w:rsidRPr="009E46F2" w:rsidRDefault="009E46F2" w:rsidP="009E4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28 апреля 2023 г. № 152-ФЗ внесены изменений в статьи 3.5 и 14.55.2 Кодекса Российской Федерации об административных правонарушениях.  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Поправками уточнена административная ответственность за включение исполнителем в себестоимость продукции по </w:t>
      </w:r>
      <w:proofErr w:type="spellStart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гособоронзаказу</w:t>
      </w:r>
      <w:proofErr w:type="spellEnd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затрат, не связанных с ее производством (реализацией), повлекшее получение излишнего дохода в размере более одного миллиона рублей (исключение - злоупотребление доминирующим положением на товарном рынке, за которое предусмотрена отдельная санкция).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Для юридических лиц штраф составит от 3 до 5 млн руб., для должностных лиц 50 тыс. руб.</w:t>
      </w:r>
    </w:p>
    <w:p w:rsidR="009E46F2" w:rsidRPr="009E46F2" w:rsidRDefault="009E46F2" w:rsidP="009E46F2">
      <w:pPr>
        <w:numPr>
          <w:ilvl w:val="0"/>
          <w:numId w:val="29"/>
        </w:numPr>
        <w:spacing w:after="100" w:afterAutospacing="1" w:line="300" w:lineRule="atLeast"/>
        <w:ind w:left="0"/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</w:pPr>
      <w:r w:rsidRPr="009E46F2"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  <w:t>19 мая 2023, 08:32</w:t>
      </w:r>
    </w:p>
    <w:p w:rsidR="009E46F2" w:rsidRPr="009E46F2" w:rsidRDefault="009E46F2" w:rsidP="009E46F2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Что относится к персональным данным пользователя сети Интернет</w:t>
      </w:r>
    </w:p>
    <w:p w:rsidR="007C0120" w:rsidRDefault="007C0120" w:rsidP="007C01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</w:pP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Разъясняет заместитель Льговского межрайонного прокурора советник юстиции 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   </w:t>
      </w: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>Бабкин С.Ю.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E46F2" w:rsidRPr="009E46F2" w:rsidRDefault="009E46F2" w:rsidP="009E4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п. 1 ст. 53 Федерального закона от 07.07.2003 № 126-ФЗ «О связи» к сведениям об абонентах относятся: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Ф.И.О. или псевдоним абонента-гражданина;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наименование (фирменное наименование) абонента - юридического лица;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Ф.И.О. руководителя организации и его работников;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адрес абонента или адрес установки пользовательского оборудования;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абонентские номера;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другие данные, позволяющие идентифицировать абонента или его оборудование;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сведения баз данных систем расчета за оказанные услуги связи, в том числе о соединениях, трафике и платежах абонента. 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Кроме того, к числу персональных данных гражданина в сети Интернет суды относят 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 xml:space="preserve">относятся его сетевые идентификаторы (IP-адрес, файлы </w:t>
      </w:r>
      <w:proofErr w:type="spellStart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cookie</w:t>
      </w:r>
      <w:proofErr w:type="spellEnd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др.), которые позволяют квалифицировать определенным образом поведение лица в Интернете и делать адресные маркетинговые предложения с целью продвижения товаров, работ и услуг (Постановление Девятого арбитражного апелляционного суда от 23.05.2016 N 09АП-17574/2016).</w:t>
      </w:r>
    </w:p>
    <w:p w:rsidR="009E46F2" w:rsidRPr="009E46F2" w:rsidRDefault="009E46F2" w:rsidP="009E46F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E46F2" w:rsidRPr="009E46F2" w:rsidRDefault="009E46F2" w:rsidP="009E46F2">
      <w:pPr>
        <w:numPr>
          <w:ilvl w:val="0"/>
          <w:numId w:val="30"/>
        </w:numPr>
        <w:spacing w:after="100" w:afterAutospacing="1" w:line="300" w:lineRule="atLeast"/>
        <w:ind w:left="0"/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</w:pPr>
      <w:r w:rsidRPr="009E46F2"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  <w:t>18 мая 2023, 08:31</w:t>
      </w:r>
    </w:p>
    <w:p w:rsidR="009E46F2" w:rsidRPr="009E46F2" w:rsidRDefault="009E46F2" w:rsidP="009E46F2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Имущественные права ребенка</w:t>
      </w:r>
    </w:p>
    <w:p w:rsidR="007C0120" w:rsidRDefault="007C0120" w:rsidP="007C01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</w:pP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Разъясняет заместитель Льговского межрайонного прокурора советник юстиции 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   </w:t>
      </w: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>Бабкин С.Ю.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E46F2" w:rsidRPr="009E46F2" w:rsidRDefault="009E46F2" w:rsidP="009E4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со ст. 60 Семейного кодекса Российской Федерации ребенок имеет право на получение содержания от своих родителей и других членов семьи в порядке и в размерах, установленных Семейным кодексом РФ. 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При этом 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 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Суд по требованию родителя, обязанного уплачивать алименты на несовершеннолетних детей, вправе вынести решение о перечислении не более пятидесяти процентов сумм алиментов, подлежащих выплате, на счета, открытые на имя несовершеннолетних детей в банках. 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Ребенок также имеет право на собственные доходы, имущество, полученное им в дар или в наследство, а также любое другое имущество, которое приобретено на средства несовершеннолетнего.</w:t>
      </w:r>
    </w:p>
    <w:p w:rsidR="009E46F2" w:rsidRPr="009E46F2" w:rsidRDefault="009E46F2" w:rsidP="009E46F2">
      <w:pPr>
        <w:numPr>
          <w:ilvl w:val="0"/>
          <w:numId w:val="31"/>
        </w:numPr>
        <w:shd w:val="clear" w:color="auto" w:fill="FFFFFF"/>
        <w:spacing w:after="100" w:afterAutospacing="1" w:line="300" w:lineRule="atLeast"/>
        <w:ind w:left="0"/>
        <w:rPr>
          <w:rFonts w:ascii="Roboto" w:eastAsia="Times New Roman" w:hAnsi="Roboto" w:cs="Times New Roman"/>
          <w:color w:val="9094A3"/>
          <w:sz w:val="21"/>
          <w:szCs w:val="21"/>
          <w:lang w:eastAsia="ru-RU"/>
        </w:rPr>
      </w:pPr>
      <w:r w:rsidRPr="009E46F2">
        <w:rPr>
          <w:rFonts w:ascii="Roboto" w:eastAsia="Times New Roman" w:hAnsi="Roboto" w:cs="Times New Roman"/>
          <w:color w:val="9094A3"/>
          <w:sz w:val="21"/>
          <w:szCs w:val="21"/>
          <w:lang w:eastAsia="ru-RU"/>
        </w:rPr>
        <w:t>17 мая 2023, 08:30</w:t>
      </w:r>
    </w:p>
    <w:p w:rsidR="009E46F2" w:rsidRPr="009E46F2" w:rsidRDefault="009E46F2" w:rsidP="009E46F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Способы получения страховой пенсии</w:t>
      </w:r>
    </w:p>
    <w:p w:rsidR="007C0120" w:rsidRDefault="007C0120" w:rsidP="007C01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</w:pP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Разъясняет заместитель Льговского межрайонного прокурора советник юстиции 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   </w:t>
      </w: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>Бабкин С.Ю.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E46F2" w:rsidRPr="009E46F2" w:rsidRDefault="009E46F2" w:rsidP="009E4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01.05.2023 в соответствии с Федеральным законом от 28.12.2013 № 400-ФЗ «О страховых пенсиях» доставка страховой пенсии может осуществляться следующими способами: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путем зачисления сумм страховой пенсии через кредитную организацию на счет пенсионера в этой кредитной организации;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получением наличных на дому или в кассе организации федеральной почтовой связи.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Ранее получить пенсию наличными можно было через организации почтовой связи и иные организации, занимающиеся доставкой пенсий, в </w:t>
      </w:r>
      <w:proofErr w:type="spellStart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т.ч</w:t>
      </w:r>
      <w:proofErr w:type="spellEnd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в кассе таких организаций.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Пенсионер самостоятельно выбирает способ получения пенсии.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Федеральный закон от 18.03.2023 № 76-ФЗ, изменяющий порядок получения страховой пенсии наличными, вступает в силу 1 мая 2023 года.</w:t>
      </w:r>
    </w:p>
    <w:p w:rsidR="009E46F2" w:rsidRPr="009E46F2" w:rsidRDefault="009E46F2" w:rsidP="009E46F2">
      <w:pPr>
        <w:numPr>
          <w:ilvl w:val="0"/>
          <w:numId w:val="32"/>
        </w:numPr>
        <w:spacing w:after="100" w:afterAutospacing="1" w:line="300" w:lineRule="atLeast"/>
        <w:ind w:left="0"/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</w:pPr>
      <w:r w:rsidRPr="009E46F2"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  <w:t>16 мая 2023, 08:29</w:t>
      </w:r>
    </w:p>
    <w:p w:rsidR="009E46F2" w:rsidRPr="009E46F2" w:rsidRDefault="009E46F2" w:rsidP="009E46F2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Отменен ряд обязанностей потребителей коммунальных услуг</w:t>
      </w:r>
    </w:p>
    <w:p w:rsidR="007C0120" w:rsidRDefault="007C0120" w:rsidP="007C01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</w:pP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Разъясняет заместитель Льговского межрайонного прокурора советник юстиции 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   </w:t>
      </w: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>Бабкин С.Ю.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E46F2" w:rsidRPr="009E46F2" w:rsidRDefault="009E46F2" w:rsidP="009E4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12 апреля 2023 года из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исключены следующие обязанности потребителей коммунальных услуг: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направлять исполнителю копию свидетельства о поверке или иного документа, удостоверяющего результаты поверки прибора учета; 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- прилагать к заявке на ввод установленного прибора учета в эксплуатацию копии документов, подтверждающих результаты прохождения последней поверки прибора учета (такие документы могут быть приложены к заявке по желанию потребителя). 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Указанные изменения внесены постановлением Правительства Российской Федерации от 12.04.2023 № 588 и распространяются на правоотношения, возникшие с 1 сентября 2022 года. </w:t>
      </w:r>
    </w:p>
    <w:p w:rsidR="009E46F2" w:rsidRPr="009E46F2" w:rsidRDefault="009E46F2" w:rsidP="009E46F2">
      <w:pPr>
        <w:numPr>
          <w:ilvl w:val="0"/>
          <w:numId w:val="33"/>
        </w:numPr>
        <w:spacing w:after="100" w:afterAutospacing="1" w:line="300" w:lineRule="atLeast"/>
        <w:ind w:left="0"/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</w:pPr>
      <w:r w:rsidRPr="009E46F2"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  <w:t>15 мая 2023, 08:27</w:t>
      </w:r>
    </w:p>
    <w:p w:rsidR="009E46F2" w:rsidRPr="009E46F2" w:rsidRDefault="009E46F2" w:rsidP="009E46F2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Правительством уточнены критерии, которым должны отвечать переехавшие для трудоустройства граждане для компенсации затрат работодателя на выплату зарплаты</w:t>
      </w:r>
    </w:p>
    <w:p w:rsidR="007C0120" w:rsidRDefault="007C0120" w:rsidP="007C01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</w:pP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Разъясняет заместитель Льговского межрайонного прокурора советник юстиции 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   </w:t>
      </w: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>Бабкин С.Ю.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E46F2" w:rsidRPr="009E46F2" w:rsidRDefault="009E46F2" w:rsidP="009E4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31.03.2023   № 520 внесены изменения в Постановление Правительства РФ от 13.03.2021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С 09.04.2023 частичную компенсацию затрат на выплату заработной платы смогут получить работодатели, включенные в перечни организаций, испытывающих потребность в привлечении работников, трудоустроившие по востребованным профессиям (должностям, специальностям), включенным в предусмотренные перечни профессий (должностей, специальностей), граждан, переехавших из других субъектов РФ или других муниципальных образований того же субъекта РФ, если муниципальное образование, из которого переехал работник, и муниципальное образование, где расположен работодатель, не граничат и расстояние между их границами составляет не менее 50 километров. 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Постановление вступило в силу 9 апреля 2023 года.</w:t>
      </w:r>
    </w:p>
    <w:p w:rsidR="009E46F2" w:rsidRPr="009E46F2" w:rsidRDefault="009E46F2" w:rsidP="009E46F2">
      <w:pPr>
        <w:numPr>
          <w:ilvl w:val="0"/>
          <w:numId w:val="34"/>
        </w:numPr>
        <w:spacing w:after="100" w:afterAutospacing="1" w:line="300" w:lineRule="atLeast"/>
        <w:ind w:left="0"/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</w:pPr>
      <w:r w:rsidRPr="009E46F2"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  <w:t>12 мая 2023, 08:25</w:t>
      </w:r>
    </w:p>
    <w:p w:rsidR="009E46F2" w:rsidRPr="009E46F2" w:rsidRDefault="009E46F2" w:rsidP="009E46F2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Расширен перечень периодов, включаемых в страховой стаж для определения пособий по временной нетрудоспособности, беременности и родам</w:t>
      </w:r>
    </w:p>
    <w:p w:rsidR="007C0120" w:rsidRDefault="007C0120" w:rsidP="007C01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</w:pP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Разъясняет заместитель Льговского межрайонного прокурора советник юстиции 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   </w:t>
      </w: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>Бабкин С.Ю.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E46F2" w:rsidRPr="009E46F2" w:rsidRDefault="009E46F2" w:rsidP="009E4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№ 98-ФЗ от 03.04.2023 внесены поправки в порядок исчисления пособия по временной нетрудоспособности.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В соответствии с принятыми изменениями в страховой стаж засчитывается период пребывания в добровольческом формировании, содействующем выполнению задач, возложенных на Вооруженные Силы РФ,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РФ за пределами территории РФ. 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Указанным Федеральным законом также уточнен порядок подсчета среднего дневного заработка для исчисления пособий по временной нетрудоспособности, по беременности и родам и ежемесячного пособия по уходу за ребенком. 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Федеральный закон № 98-ФЗ вступил в силу 3 апреля 2023 года, однако данные положения распространяются на правоотношения, возникшие с 24 февраля 2022 года. </w:t>
      </w:r>
    </w:p>
    <w:p w:rsidR="009E46F2" w:rsidRPr="009E46F2" w:rsidRDefault="009E46F2" w:rsidP="009E46F2">
      <w:pPr>
        <w:numPr>
          <w:ilvl w:val="0"/>
          <w:numId w:val="35"/>
        </w:numPr>
        <w:spacing w:after="100" w:afterAutospacing="1" w:line="300" w:lineRule="atLeast"/>
        <w:ind w:left="0"/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</w:pPr>
      <w:r w:rsidRPr="009E46F2"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  <w:t>10 мая 2023, 10:23</w:t>
      </w:r>
    </w:p>
    <w:p w:rsidR="009E46F2" w:rsidRPr="009E46F2" w:rsidRDefault="009E46F2" w:rsidP="009E46F2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Изменился порядок исключения товариществ собственников недвижимости из ЕГРЮЛ</w:t>
      </w:r>
    </w:p>
    <w:p w:rsidR="007C0120" w:rsidRDefault="007C0120" w:rsidP="007C01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</w:pP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Разъясняет заместитель Льговского межрайонного прокурора советник юстиции 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   </w:t>
      </w: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>Бабкин С.Ю.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E46F2" w:rsidRPr="009E46F2" w:rsidRDefault="009E46F2" w:rsidP="009E4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Федеральным законом от 14 апреля 2023 г. № 126-ФЗ внесены изменения в статью 21.1 Федерального закона «О государственной регистрации юридических лиц и индивидуальных предпринимателей», которыми введено  требование о дополнительном уведомлении товариществ собственников недвижимости (ТСН) и </w:t>
      </w:r>
      <w:proofErr w:type="spellStart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потребкооперативов</w:t>
      </w:r>
      <w:proofErr w:type="spellEnd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 предстоящем исключении из ЕГРЮЛ.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Если такое решение принято, то регистрирующий орган в течение 3 дней должен направить (в т. ч. по электронной почте) ТСН или </w:t>
      </w:r>
      <w:proofErr w:type="spellStart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потребкооперативу</w:t>
      </w:r>
      <w:proofErr w:type="spellEnd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а также лицу, имеющему право действовать без доверенности от имени НКО, уведомление о принятом решении и о возможности направить заявление при продолжении уставной деятельности.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Уведомление должно содержать порядок и сроки направления заявления с указанием адреса, по которому его можно представить. Заявление можно подать в регистрирующий орган в течение 3 месяцев со дня направления уведомления.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Закон вступил в силу со дня опубликования.</w:t>
      </w:r>
    </w:p>
    <w:p w:rsidR="009E46F2" w:rsidRPr="009E46F2" w:rsidRDefault="009E46F2" w:rsidP="009E46F2">
      <w:pPr>
        <w:numPr>
          <w:ilvl w:val="0"/>
          <w:numId w:val="36"/>
        </w:numPr>
        <w:spacing w:after="100" w:afterAutospacing="1" w:line="300" w:lineRule="atLeast"/>
        <w:ind w:left="0"/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</w:pPr>
      <w:r w:rsidRPr="009E46F2"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  <w:t>5 мая 2023, 10:22</w:t>
      </w:r>
    </w:p>
    <w:p w:rsidR="009E46F2" w:rsidRPr="009E46F2" w:rsidRDefault="009E46F2" w:rsidP="009E46F2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Принят закон об электронных повестках и реестре военнообязанных</w:t>
      </w:r>
    </w:p>
    <w:p w:rsidR="007C0120" w:rsidRDefault="007C0120" w:rsidP="007C01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</w:pP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Разъясняет заместитель Льговского межрайонного прокурора советник юстиции 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   </w:t>
      </w: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>Бабкин С.Ю.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E46F2" w:rsidRPr="009E46F2" w:rsidRDefault="009E46F2" w:rsidP="007C0120">
      <w:pPr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E4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14 апреля 2023 г. № 127-ФЗ внесены изменения в отдельные законодательные акты Российской Федерации, которыми скорректированы Закон о воинской обязанности и другие акты.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Согласно внесенным поправкам данные о гражданах для целей воинского учета также будут подавать ФНС, ФПСС, региональные власти, ЦИК, вузы и научные организации, </w:t>
      </w:r>
      <w:proofErr w:type="spellStart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 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 xml:space="preserve">Работодателей обязали подавать данные о военнообязанных через портал </w:t>
      </w:r>
      <w:proofErr w:type="spellStart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Будет создан реестр воинского учета, в который внесут сведения о гражданах, подлежащих первоначальной постановке на учет, о гражданах, которые состоят на учете, а также о гражданах, которые не состоят, но обязаны состоять на учете.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За неявку по повестке в течение 20 дней без уважительной причины предусмотрены ограничительные меры: запреты на выезд, управление автомобилем, регистрацию недвижимости, получение кредитов.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Кроме того, предусмотрена возможность постановки на учет, снятия с него и внесения изменений в документы учета без явки гражданина в военкомат на основании данных из различных информационных систем.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Внесенными изменениями предусмотрено  также формирование реестра направленных (врученных) повесток.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Бумажные повестки будут считаться полученными в день доставки (вручения) соответствующего заказного письма, электронные - с момента размещения в личном кабинете гражданина на соответствующем информационном ресурсе, в информационной системе. Если повестка не считается врученной одним из таких способов, то она считается врученной по истечении 7 дней с даты ее размещения в реестре повесток.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Призывники, которые не получили повестку в период текущего призыва, должны будут являться в военкоматы для сверки данных воинского учета в двухнедельный срок со дня начала следующего призыва.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При выезде призывника с места жительства или места пребывания в период призыва на срок более 3 месяцев он должен будет уведомить об этом военкомат или местные власти.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Поправки вступили в силу со дня опубликования.</w:t>
      </w:r>
    </w:p>
    <w:p w:rsidR="009E46F2" w:rsidRPr="009E46F2" w:rsidRDefault="009E46F2" w:rsidP="009E46F2">
      <w:pPr>
        <w:numPr>
          <w:ilvl w:val="0"/>
          <w:numId w:val="37"/>
        </w:numPr>
        <w:spacing w:after="100" w:afterAutospacing="1" w:line="300" w:lineRule="atLeast"/>
        <w:ind w:left="0"/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</w:pPr>
      <w:r w:rsidRPr="009E46F2">
        <w:rPr>
          <w:rFonts w:ascii="Times New Roman" w:eastAsia="Times New Roman" w:hAnsi="Times New Roman" w:cs="Times New Roman"/>
          <w:color w:val="9094A3"/>
          <w:sz w:val="21"/>
          <w:szCs w:val="21"/>
          <w:lang w:eastAsia="ru-RU"/>
        </w:rPr>
        <w:t>4 мая 2023, 08:21</w:t>
      </w:r>
    </w:p>
    <w:p w:rsidR="009E46F2" w:rsidRPr="009E46F2" w:rsidRDefault="009E46F2" w:rsidP="009E46F2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E4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Кредитные каникулы продлены до конца 2023 года</w:t>
      </w:r>
    </w:p>
    <w:p w:rsidR="007C0120" w:rsidRDefault="007C0120" w:rsidP="007C012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</w:pP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Разъясняет заместитель Льговского межрайонного прокурора советник юстиции 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   </w:t>
      </w:r>
      <w:r w:rsidRPr="003D2EAB"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>Бабкин С.Ю.</w:t>
      </w:r>
      <w:r>
        <w:rPr>
          <w:rFonts w:ascii="Roboto" w:eastAsia="Times New Roman" w:hAnsi="Roboto" w:cs="Times New Roman"/>
          <w:i/>
          <w:color w:val="333333"/>
          <w:sz w:val="24"/>
          <w:szCs w:val="24"/>
          <w:lang w:eastAsia="ru-RU"/>
        </w:rPr>
        <w:t xml:space="preserve"> </w:t>
      </w:r>
    </w:p>
    <w:p w:rsidR="009E46F2" w:rsidRPr="009E46F2" w:rsidRDefault="009E46F2" w:rsidP="009E4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14 апреля 2023 г. № 132-ФЗ внесены изменения в статьи 6 и 7 Федерального закона «О внесении изменений в Федеральный закон «О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займа».</w:t>
      </w:r>
      <w:r w:rsidRPr="009E46F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br/>
        <w:t>Согласно внесенным изменениям продлена возможность обратиться за кредитными каникулами гражданам, индивидуальным предпринимателям и субъектам малого и среднего предпринимательства.</w:t>
      </w:r>
    </w:p>
    <w:p w:rsidR="004E7D20" w:rsidRDefault="004E7D20"/>
    <w:sectPr w:rsidR="004E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960"/>
    <w:multiLevelType w:val="multilevel"/>
    <w:tmpl w:val="FBF8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03C48"/>
    <w:multiLevelType w:val="multilevel"/>
    <w:tmpl w:val="B87E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C5011"/>
    <w:multiLevelType w:val="multilevel"/>
    <w:tmpl w:val="C98E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43389"/>
    <w:multiLevelType w:val="multilevel"/>
    <w:tmpl w:val="B53C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34347"/>
    <w:multiLevelType w:val="multilevel"/>
    <w:tmpl w:val="8F0E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C0DD8"/>
    <w:multiLevelType w:val="multilevel"/>
    <w:tmpl w:val="90AE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3147A"/>
    <w:multiLevelType w:val="multilevel"/>
    <w:tmpl w:val="69E0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71278"/>
    <w:multiLevelType w:val="multilevel"/>
    <w:tmpl w:val="7BAC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B70DC"/>
    <w:multiLevelType w:val="multilevel"/>
    <w:tmpl w:val="DA9E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0778B"/>
    <w:multiLevelType w:val="multilevel"/>
    <w:tmpl w:val="BC6C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01742"/>
    <w:multiLevelType w:val="multilevel"/>
    <w:tmpl w:val="FD5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21607"/>
    <w:multiLevelType w:val="multilevel"/>
    <w:tmpl w:val="6462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F5FBB"/>
    <w:multiLevelType w:val="multilevel"/>
    <w:tmpl w:val="9FA6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652491"/>
    <w:multiLevelType w:val="multilevel"/>
    <w:tmpl w:val="109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750CC"/>
    <w:multiLevelType w:val="multilevel"/>
    <w:tmpl w:val="D408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02E7B"/>
    <w:multiLevelType w:val="multilevel"/>
    <w:tmpl w:val="B8BC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236A6"/>
    <w:multiLevelType w:val="multilevel"/>
    <w:tmpl w:val="55FA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CC7567"/>
    <w:multiLevelType w:val="multilevel"/>
    <w:tmpl w:val="922A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B73B9"/>
    <w:multiLevelType w:val="multilevel"/>
    <w:tmpl w:val="B46E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560D4E"/>
    <w:multiLevelType w:val="multilevel"/>
    <w:tmpl w:val="3A08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B4483B"/>
    <w:multiLevelType w:val="multilevel"/>
    <w:tmpl w:val="79C0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CF2670"/>
    <w:multiLevelType w:val="multilevel"/>
    <w:tmpl w:val="BE7A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062DD9"/>
    <w:multiLevelType w:val="multilevel"/>
    <w:tmpl w:val="40DA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875D5"/>
    <w:multiLevelType w:val="multilevel"/>
    <w:tmpl w:val="5A8C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391EE7"/>
    <w:multiLevelType w:val="multilevel"/>
    <w:tmpl w:val="664C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477094"/>
    <w:multiLevelType w:val="multilevel"/>
    <w:tmpl w:val="80B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E7F5F"/>
    <w:multiLevelType w:val="multilevel"/>
    <w:tmpl w:val="5020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252B19"/>
    <w:multiLevelType w:val="multilevel"/>
    <w:tmpl w:val="29EA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D83BF9"/>
    <w:multiLevelType w:val="multilevel"/>
    <w:tmpl w:val="04DC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BA06F6"/>
    <w:multiLevelType w:val="multilevel"/>
    <w:tmpl w:val="9CC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726D2"/>
    <w:multiLevelType w:val="multilevel"/>
    <w:tmpl w:val="0D6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344A53"/>
    <w:multiLevelType w:val="multilevel"/>
    <w:tmpl w:val="16C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0D2424"/>
    <w:multiLevelType w:val="multilevel"/>
    <w:tmpl w:val="77E0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1971EB"/>
    <w:multiLevelType w:val="multilevel"/>
    <w:tmpl w:val="464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1862CD"/>
    <w:multiLevelType w:val="multilevel"/>
    <w:tmpl w:val="4880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C4376B"/>
    <w:multiLevelType w:val="multilevel"/>
    <w:tmpl w:val="8802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0430ED"/>
    <w:multiLevelType w:val="multilevel"/>
    <w:tmpl w:val="3D0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0"/>
  </w:num>
  <w:num w:numId="5">
    <w:abstractNumId w:val="18"/>
  </w:num>
  <w:num w:numId="6">
    <w:abstractNumId w:val="5"/>
  </w:num>
  <w:num w:numId="7">
    <w:abstractNumId w:val="27"/>
  </w:num>
  <w:num w:numId="8">
    <w:abstractNumId w:val="14"/>
  </w:num>
  <w:num w:numId="9">
    <w:abstractNumId w:val="3"/>
  </w:num>
  <w:num w:numId="10">
    <w:abstractNumId w:val="19"/>
  </w:num>
  <w:num w:numId="11">
    <w:abstractNumId w:val="26"/>
  </w:num>
  <w:num w:numId="12">
    <w:abstractNumId w:val="11"/>
  </w:num>
  <w:num w:numId="13">
    <w:abstractNumId w:val="29"/>
  </w:num>
  <w:num w:numId="14">
    <w:abstractNumId w:val="0"/>
  </w:num>
  <w:num w:numId="15">
    <w:abstractNumId w:val="4"/>
  </w:num>
  <w:num w:numId="16">
    <w:abstractNumId w:val="1"/>
  </w:num>
  <w:num w:numId="17">
    <w:abstractNumId w:val="12"/>
  </w:num>
  <w:num w:numId="18">
    <w:abstractNumId w:val="30"/>
  </w:num>
  <w:num w:numId="19">
    <w:abstractNumId w:val="25"/>
  </w:num>
  <w:num w:numId="20">
    <w:abstractNumId w:val="2"/>
  </w:num>
  <w:num w:numId="21">
    <w:abstractNumId w:val="35"/>
  </w:num>
  <w:num w:numId="22">
    <w:abstractNumId w:val="34"/>
  </w:num>
  <w:num w:numId="23">
    <w:abstractNumId w:val="24"/>
  </w:num>
  <w:num w:numId="24">
    <w:abstractNumId w:val="36"/>
  </w:num>
  <w:num w:numId="25">
    <w:abstractNumId w:val="33"/>
  </w:num>
  <w:num w:numId="26">
    <w:abstractNumId w:val="23"/>
  </w:num>
  <w:num w:numId="27">
    <w:abstractNumId w:val="6"/>
  </w:num>
  <w:num w:numId="28">
    <w:abstractNumId w:val="31"/>
  </w:num>
  <w:num w:numId="29">
    <w:abstractNumId w:val="8"/>
  </w:num>
  <w:num w:numId="30">
    <w:abstractNumId w:val="28"/>
  </w:num>
  <w:num w:numId="31">
    <w:abstractNumId w:val="32"/>
  </w:num>
  <w:num w:numId="32">
    <w:abstractNumId w:val="9"/>
  </w:num>
  <w:num w:numId="33">
    <w:abstractNumId w:val="20"/>
  </w:num>
  <w:num w:numId="34">
    <w:abstractNumId w:val="16"/>
  </w:num>
  <w:num w:numId="35">
    <w:abstractNumId w:val="21"/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A9"/>
    <w:rsid w:val="00104FB8"/>
    <w:rsid w:val="002A7626"/>
    <w:rsid w:val="004E7D20"/>
    <w:rsid w:val="005443B2"/>
    <w:rsid w:val="007C0120"/>
    <w:rsid w:val="009E46F2"/>
    <w:rsid w:val="00E7344B"/>
    <w:rsid w:val="00EC107A"/>
    <w:rsid w:val="00F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5F319-C88F-41C8-BFFE-FE5FB628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72BA9"/>
  </w:style>
  <w:style w:type="character" w:customStyle="1" w:styleId="feeds-pagenavigationtooltip">
    <w:name w:val="feeds-page__navigation_tooltip"/>
    <w:basedOn w:val="a0"/>
    <w:rsid w:val="00F72BA9"/>
  </w:style>
  <w:style w:type="paragraph" w:styleId="a3">
    <w:name w:val="Normal (Web)"/>
    <w:basedOn w:val="a"/>
    <w:uiPriority w:val="99"/>
    <w:semiHidden/>
    <w:unhideWhenUsed/>
    <w:rsid w:val="00F7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2B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2B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2B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2B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F72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86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4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0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5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1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7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5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94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00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212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78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3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50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12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6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75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003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61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1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15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25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29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36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0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78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108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9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507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5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798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4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2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26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0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3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42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4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6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30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27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8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25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11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92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474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26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6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0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00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62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328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7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22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2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2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669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25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1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0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04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962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43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86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49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36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70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97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2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4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2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6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9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826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4011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0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07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6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1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87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29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824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2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88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460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6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9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9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89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313296">
                                                      <w:marLeft w:val="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16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74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14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0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02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59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57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10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51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8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1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6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5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500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01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9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904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1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8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67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606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3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9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7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89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7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8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3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7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801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80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6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4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43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63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78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8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40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450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45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01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1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6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6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Бабкин Сергей Юрьевич</cp:lastModifiedBy>
  <cp:revision>3</cp:revision>
  <dcterms:created xsi:type="dcterms:W3CDTF">2023-06-29T06:44:00Z</dcterms:created>
  <dcterms:modified xsi:type="dcterms:W3CDTF">2023-06-29T06:49:00Z</dcterms:modified>
</cp:coreProperties>
</file>