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 w:rsidRPr="00C6703E">
        <w:rPr>
          <w:rFonts w:ascii="Times New Roman" w:hAnsi="Times New Roman" w:cs="Times New Roman"/>
        </w:rPr>
        <w:t>Утверждено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Льговского района Курской области                                                                                                                                                           </w:t>
      </w:r>
    </w:p>
    <w:p w:rsidR="0043280F" w:rsidRPr="00934BD7" w:rsidRDefault="0043280F" w:rsidP="00834605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017188">
        <w:rPr>
          <w:rFonts w:ascii="Times New Roman" w:hAnsi="Times New Roman" w:cs="Times New Roman"/>
        </w:rPr>
        <w:t xml:space="preserve">                           от «</w:t>
      </w:r>
      <w:r w:rsidR="00594749" w:rsidRPr="00AA1039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» </w:t>
      </w:r>
      <w:r w:rsidR="00594749">
        <w:rPr>
          <w:rFonts w:ascii="Times New Roman" w:hAnsi="Times New Roman" w:cs="Times New Roman"/>
        </w:rPr>
        <w:t xml:space="preserve">января </w:t>
      </w:r>
      <w:r w:rsidR="00017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594749">
        <w:rPr>
          <w:rFonts w:ascii="Times New Roman" w:hAnsi="Times New Roman" w:cs="Times New Roman"/>
        </w:rPr>
        <w:t>4</w:t>
      </w:r>
      <w:r w:rsidR="00017188"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№</w:t>
      </w:r>
      <w:r w:rsidR="009D3542">
        <w:rPr>
          <w:rFonts w:ascii="Times New Roman" w:hAnsi="Times New Roman" w:cs="Times New Roman"/>
        </w:rPr>
        <w:t>09</w:t>
      </w:r>
    </w:p>
    <w:p w:rsidR="0043280F" w:rsidRDefault="0043280F" w:rsidP="004328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Больше-Угонский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ЦСДК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594749">
        <w:rPr>
          <w:rFonts w:ascii="Times New Roman" w:hAnsi="Times New Roman" w:cs="Times New Roman"/>
          <w:b/>
          <w:sz w:val="28"/>
          <w:szCs w:val="28"/>
        </w:rPr>
        <w:t>4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594749">
        <w:rPr>
          <w:rFonts w:ascii="Times New Roman" w:hAnsi="Times New Roman" w:cs="Times New Roman"/>
          <w:b/>
          <w:sz w:val="28"/>
          <w:szCs w:val="28"/>
        </w:rPr>
        <w:t>5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594749">
        <w:rPr>
          <w:rFonts w:ascii="Times New Roman" w:hAnsi="Times New Roman" w:cs="Times New Roman"/>
          <w:b/>
          <w:sz w:val="28"/>
          <w:szCs w:val="28"/>
        </w:rPr>
        <w:t>6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3280F" w:rsidRPr="006047A1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0F" w:rsidRDefault="0043280F" w:rsidP="0043280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>
        <w:rPr>
          <w:rFonts w:ascii="Times New Roman" w:hAnsi="Times New Roman" w:cs="Times New Roman"/>
          <w:b/>
        </w:rPr>
        <w:t xml:space="preserve"> Больше – </w:t>
      </w:r>
      <w:proofErr w:type="spellStart"/>
      <w:r>
        <w:rPr>
          <w:rFonts w:ascii="Times New Roman" w:hAnsi="Times New Roman" w:cs="Times New Roman"/>
          <w:b/>
        </w:rPr>
        <w:t>Угонского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  <w:r w:rsidR="001B45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Льговского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43280F" w:rsidRPr="00352D47" w:rsidTr="00017188"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43280F" w:rsidRPr="00352D47" w:rsidTr="00017188"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43280F" w:rsidRPr="00352D47" w:rsidTr="00017188"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1985"/>
        <w:gridCol w:w="2268"/>
        <w:gridCol w:w="2126"/>
        <w:gridCol w:w="2126"/>
      </w:tblGrid>
      <w:tr w:rsidR="0043280F" w:rsidRPr="00330EA0" w:rsidTr="004545CD">
        <w:tc>
          <w:tcPr>
            <w:tcW w:w="2269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7" w:type="dxa"/>
            <w:gridSpan w:val="5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proofErr w:type="spellStart"/>
            <w:proofErr w:type="gramStart"/>
            <w:r w:rsidR="00C95DEC"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proofErr w:type="gramEnd"/>
            <w:r w:rsidR="00C95DE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3280F" w:rsidRPr="00330EA0" w:rsidTr="004545CD">
        <w:trPr>
          <w:trHeight w:val="947"/>
        </w:trPr>
        <w:tc>
          <w:tcPr>
            <w:tcW w:w="2269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985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4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5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6</w:t>
            </w:r>
          </w:p>
        </w:tc>
      </w:tr>
      <w:tr w:rsidR="0043280F" w:rsidRPr="00330EA0" w:rsidTr="004545CD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Большие-Угоны</w:t>
            </w:r>
            <w:proofErr w:type="gramEnd"/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80F" w:rsidRPr="00465358" w:rsidRDefault="00465358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280F" w:rsidRPr="00465358" w:rsidRDefault="00465358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465358" w:rsidRDefault="00465358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465358" w:rsidRDefault="00465358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9D3542" w:rsidRDefault="009D3542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834605" w:rsidRDefault="00834605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62"/>
        <w:gridCol w:w="1560"/>
        <w:gridCol w:w="1440"/>
        <w:gridCol w:w="1491"/>
        <w:gridCol w:w="2268"/>
        <w:gridCol w:w="2268"/>
        <w:gridCol w:w="1773"/>
        <w:gridCol w:w="1913"/>
      </w:tblGrid>
      <w:tr w:rsidR="0043280F" w:rsidRPr="00F860EF" w:rsidTr="00017188">
        <w:tc>
          <w:tcPr>
            <w:tcW w:w="1426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43280F" w:rsidRPr="00330EA0" w:rsidTr="00017188">
        <w:trPr>
          <w:trHeight w:val="1165"/>
        </w:trPr>
        <w:tc>
          <w:tcPr>
            <w:tcW w:w="1426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491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 w:rsidR="004828A5">
              <w:rPr>
                <w:rFonts w:ascii="Times New Roman" w:hAnsi="Times New Roman" w:cs="Times New Roman"/>
                <w:i/>
              </w:rPr>
              <w:t>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4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465358" w:rsidRDefault="0043280F" w:rsidP="004828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5</w:t>
            </w:r>
          </w:p>
        </w:tc>
        <w:tc>
          <w:tcPr>
            <w:tcW w:w="177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465358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6</w:t>
            </w:r>
          </w:p>
        </w:tc>
        <w:tc>
          <w:tcPr>
            <w:tcW w:w="1913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3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43280F" w:rsidRPr="006047A1" w:rsidRDefault="009D3542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91" w:type="dxa"/>
            <w:vAlign w:val="center"/>
          </w:tcPr>
          <w:p w:rsidR="0043280F" w:rsidRPr="009D3542" w:rsidRDefault="009D3542" w:rsidP="00465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vAlign w:val="center"/>
          </w:tcPr>
          <w:p w:rsidR="0043280F" w:rsidRPr="009D3542" w:rsidRDefault="009D3542" w:rsidP="004653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vAlign w:val="center"/>
          </w:tcPr>
          <w:p w:rsidR="0043280F" w:rsidRPr="009D3542" w:rsidRDefault="009D3542" w:rsidP="004653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3" w:type="dxa"/>
            <w:vAlign w:val="center"/>
          </w:tcPr>
          <w:p w:rsidR="0043280F" w:rsidRPr="009D3542" w:rsidRDefault="009D3542" w:rsidP="004653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vAlign w:val="center"/>
          </w:tcPr>
          <w:p w:rsidR="0043280F" w:rsidRPr="006047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vAlign w:val="center"/>
          </w:tcPr>
          <w:p w:rsidR="0043280F" w:rsidRPr="00465358" w:rsidRDefault="00465358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773" w:type="dxa"/>
            <w:vAlign w:val="center"/>
          </w:tcPr>
          <w:p w:rsidR="0043280F" w:rsidRPr="00465358" w:rsidRDefault="00465358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43280F" w:rsidRPr="00810E09" w:rsidRDefault="0043280F" w:rsidP="00017188">
            <w:pPr>
              <w:jc w:val="center"/>
              <w:rPr>
                <w:sz w:val="20"/>
                <w:szCs w:val="20"/>
              </w:rPr>
            </w:pPr>
            <w:r w:rsidRPr="00810E09">
              <w:rPr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032"/>
        <w:gridCol w:w="2127"/>
        <w:gridCol w:w="1914"/>
        <w:gridCol w:w="1920"/>
      </w:tblGrid>
      <w:tr w:rsidR="0043280F" w:rsidRPr="00EE2F13" w:rsidTr="00017188">
        <w:tc>
          <w:tcPr>
            <w:tcW w:w="1788" w:type="dxa"/>
            <w:vMerge w:val="restart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43280F" w:rsidRPr="00EE2F13" w:rsidRDefault="0043280F" w:rsidP="00017188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43280F" w:rsidRPr="00EE2F13" w:rsidTr="00C95DEC">
        <w:trPr>
          <w:trHeight w:val="934"/>
        </w:trPr>
        <w:tc>
          <w:tcPr>
            <w:tcW w:w="1788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43280F" w:rsidRPr="00EE2F13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EE2F13" w:rsidRDefault="0043280F" w:rsidP="0046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465358">
              <w:rPr>
                <w:rFonts w:ascii="Times New Roman" w:hAnsi="Times New Roman" w:cs="Times New Roman"/>
                <w:i/>
                <w:lang w:val="en-US"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032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12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1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 w:rsidR="00D02647">
              <w:rPr>
                <w:rFonts w:ascii="Times New Roman" w:hAnsi="Times New Roman" w:cs="Times New Roman"/>
                <w:i/>
              </w:rPr>
              <w:t>1</w:t>
            </w:r>
            <w:r w:rsidR="00594749">
              <w:rPr>
                <w:rFonts w:ascii="Times New Roman" w:hAnsi="Times New Roman" w:cs="Times New Roman"/>
                <w:i/>
              </w:rPr>
              <w:t>6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47" w:type="dxa"/>
          </w:tcPr>
          <w:p w:rsidR="0043280F" w:rsidRPr="00210A57" w:rsidRDefault="00594749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032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7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4" w:type="dxa"/>
          </w:tcPr>
          <w:p w:rsidR="0043280F" w:rsidRPr="00210A57" w:rsidRDefault="009D354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7" w:type="dxa"/>
            <w:vAlign w:val="center"/>
          </w:tcPr>
          <w:p w:rsidR="0043280F" w:rsidRPr="00210A57" w:rsidRDefault="00594749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32" w:type="dxa"/>
            <w:vAlign w:val="center"/>
          </w:tcPr>
          <w:p w:rsidR="0043280F" w:rsidRPr="00210A57" w:rsidRDefault="00594749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vAlign w:val="center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14" w:type="dxa"/>
            <w:vAlign w:val="center"/>
          </w:tcPr>
          <w:p w:rsidR="0043280F" w:rsidRPr="00210A57" w:rsidRDefault="00594749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3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7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2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</w:tcPr>
          <w:p w:rsidR="0043280F" w:rsidRPr="00210A57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</w:tcPr>
          <w:p w:rsidR="0043280F" w:rsidRPr="00210A57" w:rsidRDefault="009D3542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47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43280F" w:rsidRPr="003F275C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lastRenderedPageBreak/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43280F" w:rsidRPr="00352D47" w:rsidTr="00017188"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Технический паспорт учреждения:</w:t>
            </w:r>
          </w:p>
          <w:p w:rsidR="0043280F" w:rsidRPr="00F343B2" w:rsidRDefault="0043280F" w:rsidP="00017188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- да</w:t>
            </w:r>
          </w:p>
          <w:p w:rsidR="0043280F" w:rsidRPr="00F343B2" w:rsidRDefault="0043280F" w:rsidP="00017188">
            <w:r w:rsidRPr="00F343B2">
              <w:t>Наличие инвентарных описей основных средств.</w:t>
            </w:r>
          </w:p>
          <w:p w:rsidR="0043280F" w:rsidRPr="00F343B2" w:rsidRDefault="0043280F" w:rsidP="00017188">
            <w:r w:rsidRPr="00F343B2">
              <w:t>- наличие</w:t>
            </w:r>
          </w:p>
        </w:tc>
      </w:tr>
    </w:tbl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43280F" w:rsidRPr="00DD1E9D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43280F" w:rsidRPr="00DD1E9D" w:rsidRDefault="0043280F" w:rsidP="0043280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43280F" w:rsidRPr="00352D47" w:rsidTr="00017188"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3280F" w:rsidRPr="00352D47" w:rsidTr="00017188">
        <w:trPr>
          <w:trHeight w:val="1365"/>
        </w:trPr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на информационных стендах (уголках получателей услуг), размещаемых в каждом учреждении; 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43280F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43280F" w:rsidRPr="00330EA0" w:rsidRDefault="0043280F" w:rsidP="0043280F">
      <w:pPr>
        <w:spacing w:line="1" w:lineRule="exact"/>
        <w:rPr>
          <w:sz w:val="20"/>
          <w:szCs w:val="20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3257"/>
        <w:gridCol w:w="1462"/>
        <w:gridCol w:w="1461"/>
        <w:gridCol w:w="1461"/>
        <w:gridCol w:w="1462"/>
        <w:gridCol w:w="1463"/>
        <w:gridCol w:w="1393"/>
      </w:tblGrid>
      <w:tr w:rsidR="0043280F" w:rsidRPr="00352D47" w:rsidTr="00017188">
        <w:trPr>
          <w:trHeight w:val="451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43280F" w:rsidRPr="00352D47" w:rsidTr="00017188">
        <w:trPr>
          <w:trHeight w:val="30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3280F" w:rsidRPr="00352D47" w:rsidRDefault="0043280F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9D3542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9D3542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9D3542">
              <w:rPr>
                <w:rFonts w:ascii="Times New Roman" w:hAnsi="Times New Roman" w:cs="Times New Roman"/>
                <w:b/>
              </w:rPr>
              <w:t>6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9D3542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60" w:type="dxa"/>
            <w:vAlign w:val="center"/>
          </w:tcPr>
          <w:p w:rsidR="0043280F" w:rsidRPr="00352D47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43280F"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494" w:type="dxa"/>
            <w:vAlign w:val="center"/>
          </w:tcPr>
          <w:p w:rsidR="0043280F" w:rsidRPr="00352D47" w:rsidRDefault="0043280F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 г</w:t>
            </w:r>
          </w:p>
        </w:tc>
      </w:tr>
      <w:tr w:rsidR="0043280F" w:rsidRPr="00352D47" w:rsidTr="00017188">
        <w:trPr>
          <w:trHeight w:val="579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D35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280F" w:rsidRPr="00352D47" w:rsidTr="00017188">
        <w:trPr>
          <w:trHeight w:val="54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553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362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 его заместители</w:t>
            </w:r>
          </w:p>
        </w:tc>
      </w:tr>
      <w:tr w:rsidR="0043280F" w:rsidRPr="00330EA0" w:rsidTr="00017188">
        <w:trPr>
          <w:trHeight w:val="1645"/>
        </w:trPr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rPr>
          <w:trHeight w:val="553"/>
        </w:trPr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43280F" w:rsidRPr="00352D47" w:rsidTr="00017188">
        <w:tc>
          <w:tcPr>
            <w:tcW w:w="15636" w:type="dxa"/>
            <w:gridSpan w:val="5"/>
          </w:tcPr>
          <w:p w:rsidR="0043280F" w:rsidRPr="00352D47" w:rsidRDefault="0043280F" w:rsidP="00017188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lastRenderedPageBreak/>
              <w:t>Объемы оказываемой муниципальной услуги</w:t>
            </w: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  <w:r w:rsidR="00594749">
              <w:rPr>
                <w:b/>
                <w:sz w:val="20"/>
                <w:szCs w:val="20"/>
              </w:rPr>
              <w:t xml:space="preserve">количесов мероприятий </w:t>
            </w:r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  <w:r w:rsidR="00594749">
              <w:rPr>
                <w:b/>
                <w:sz w:val="20"/>
                <w:szCs w:val="20"/>
              </w:rPr>
              <w:t xml:space="preserve">Количество кружков </w:t>
            </w:r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AA1039" w:rsidRPr="006F1C22" w:rsidRDefault="00AA1039" w:rsidP="00AA1039">
      <w:pPr>
        <w:pStyle w:val="ConsPlusNonforma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>10.2. Периодичность предоставления отчетности о выполнении муниципального задания: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ежегодно в срок до 12 января следующего за отчетным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.</w:t>
      </w:r>
      <w:proofErr w:type="gramEnd"/>
    </w:p>
    <w:p w:rsidR="00AA1039" w:rsidRPr="006F1C22" w:rsidRDefault="00AA1039" w:rsidP="00AA1039">
      <w:pPr>
        <w:rPr>
          <w:b/>
        </w:rPr>
      </w:pPr>
    </w:p>
    <w:p w:rsidR="00AA1039" w:rsidRPr="006F1C22" w:rsidRDefault="00AA1039" w:rsidP="00AA1039">
      <w:pPr>
        <w:pStyle w:val="ConsPlusNonformat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 xml:space="preserve">10.3. Иные требования к отчетности о выполнении муниципального задания 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>за</w:t>
      </w:r>
      <w:proofErr w:type="gramEnd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отчётным;</w:t>
      </w:r>
    </w:p>
    <w:p w:rsidR="00AA1039" w:rsidRPr="006F1C22" w:rsidRDefault="00AA1039" w:rsidP="00AA1039">
      <w:pPr>
        <w:ind w:firstLine="540"/>
        <w:jc w:val="both"/>
        <w:rPr>
          <w:lang w:bidi="ru-RU"/>
        </w:rPr>
      </w:pPr>
      <w:r w:rsidRPr="006F1C22">
        <w:rPr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AA1039" w:rsidRPr="006F1C22" w:rsidRDefault="00AA1039" w:rsidP="00AA1039">
      <w:pPr>
        <w:rPr>
          <w:b/>
        </w:rPr>
      </w:pPr>
    </w:p>
    <w:p w:rsidR="00AA1039" w:rsidRPr="006F1C22" w:rsidRDefault="00AA1039" w:rsidP="00AA1039">
      <w:pPr>
        <w:pStyle w:val="a5"/>
        <w:rPr>
          <w:sz w:val="24"/>
          <w:szCs w:val="24"/>
        </w:rPr>
      </w:pPr>
      <w:r w:rsidRPr="006F1C22">
        <w:rPr>
          <w:b/>
          <w:sz w:val="24"/>
          <w:szCs w:val="24"/>
        </w:rPr>
        <w:t>11. Иная информация, необходимая для выполнения (контроля  за выполнением) муниципального задания</w:t>
      </w:r>
      <w:r>
        <w:rPr>
          <w:b/>
          <w:sz w:val="24"/>
          <w:szCs w:val="24"/>
        </w:rPr>
        <w:t xml:space="preserve"> </w:t>
      </w:r>
      <w:r w:rsidRPr="006F1C22">
        <w:rPr>
          <w:sz w:val="24"/>
          <w:szCs w:val="24"/>
          <w:lang w:bidi="ru-RU"/>
        </w:rPr>
        <w:t xml:space="preserve"> При необходимости учреждение представляет  в </w:t>
      </w:r>
      <w:r w:rsidRPr="006F1C22">
        <w:rPr>
          <w:sz w:val="24"/>
          <w:szCs w:val="24"/>
        </w:rPr>
        <w:t xml:space="preserve"> администрацию Большеугонского сельсовета Льговского района </w:t>
      </w:r>
      <w:r w:rsidRPr="006F1C22">
        <w:rPr>
          <w:sz w:val="24"/>
          <w:szCs w:val="24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</w:t>
      </w:r>
      <w:proofErr w:type="gramStart"/>
      <w:r w:rsidRPr="006F1C22">
        <w:rPr>
          <w:sz w:val="24"/>
          <w:szCs w:val="24"/>
          <w:lang w:bidi="ru-RU"/>
        </w:rPr>
        <w:t>.»</w:t>
      </w:r>
      <w:r w:rsidRPr="006F1C22">
        <w:rPr>
          <w:kern w:val="2"/>
          <w:sz w:val="24"/>
          <w:szCs w:val="24"/>
        </w:rPr>
        <w:t xml:space="preserve">    </w:t>
      </w:r>
      <w:proofErr w:type="gramEnd"/>
    </w:p>
    <w:p w:rsidR="00AA1039" w:rsidRPr="006F1C22" w:rsidRDefault="00AA1039" w:rsidP="00AA1039"/>
    <w:p w:rsidR="00AA1039" w:rsidRPr="006F1C22" w:rsidRDefault="00AA1039" w:rsidP="00AA1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4749" w:rsidRDefault="00594749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№2                        </w:t>
      </w:r>
    </w:p>
    <w:p w:rsidR="0043280F" w:rsidRDefault="0043280F" w:rsidP="0043280F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 w:rsidRPr="00C6703E">
        <w:rPr>
          <w:rFonts w:ascii="Times New Roman" w:hAnsi="Times New Roman" w:cs="Times New Roman"/>
        </w:rPr>
        <w:t>Утверждено</w:t>
      </w:r>
    </w:p>
    <w:p w:rsidR="0043280F" w:rsidRDefault="0043280F" w:rsidP="0043280F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 района Курской области                                                                                                                                                           </w:t>
      </w:r>
    </w:p>
    <w:p w:rsidR="0043280F" w:rsidRPr="00C6703E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94749">
        <w:rPr>
          <w:rFonts w:ascii="Times New Roman" w:hAnsi="Times New Roman" w:cs="Times New Roman"/>
        </w:rPr>
        <w:t xml:space="preserve">                           от «17»января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594749">
        <w:rPr>
          <w:rFonts w:ascii="Times New Roman" w:hAnsi="Times New Roman" w:cs="Times New Roman"/>
        </w:rPr>
        <w:t>4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9D3542">
        <w:rPr>
          <w:rFonts w:ascii="Times New Roman" w:hAnsi="Times New Roman" w:cs="Times New Roman"/>
        </w:rPr>
        <w:t>-09</w:t>
      </w:r>
    </w:p>
    <w:p w:rsidR="0043280F" w:rsidRDefault="0043280F" w:rsidP="004328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0F" w:rsidRPr="00934BD7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Эммануйловский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3280F" w:rsidRPr="006047A1" w:rsidRDefault="0043280F" w:rsidP="0043280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(филиал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Больше-Угонского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ЦСДК)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594749">
        <w:rPr>
          <w:rFonts w:ascii="Times New Roman" w:hAnsi="Times New Roman" w:cs="Times New Roman"/>
          <w:b/>
          <w:sz w:val="28"/>
          <w:szCs w:val="28"/>
        </w:rPr>
        <w:t>4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594749">
        <w:rPr>
          <w:rFonts w:ascii="Times New Roman" w:hAnsi="Times New Roman" w:cs="Times New Roman"/>
          <w:b/>
          <w:sz w:val="28"/>
          <w:szCs w:val="28"/>
        </w:rPr>
        <w:t>5</w:t>
      </w:r>
      <w:r w:rsidR="00834605"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594749">
        <w:rPr>
          <w:rFonts w:ascii="Times New Roman" w:hAnsi="Times New Roman" w:cs="Times New Roman"/>
          <w:b/>
          <w:sz w:val="28"/>
          <w:szCs w:val="28"/>
        </w:rPr>
        <w:t>6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3280F" w:rsidRPr="006047A1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0F" w:rsidRDefault="0043280F" w:rsidP="0043280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 w:rsidR="00531B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Большеугонского сельсовета</w:t>
      </w:r>
      <w:r w:rsidR="00531B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Льговского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43280F" w:rsidRPr="00352D47" w:rsidTr="00017188"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43280F" w:rsidRPr="00352D47" w:rsidTr="00017188"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43280F" w:rsidRPr="00352D47" w:rsidTr="00017188"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2552"/>
        <w:gridCol w:w="2268"/>
        <w:gridCol w:w="2268"/>
        <w:gridCol w:w="2126"/>
      </w:tblGrid>
      <w:tr w:rsidR="0043280F" w:rsidRPr="00330EA0" w:rsidTr="00017188">
        <w:tc>
          <w:tcPr>
            <w:tcW w:w="2269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56" w:type="dxa"/>
            <w:gridSpan w:val="5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3280F" w:rsidRPr="00330EA0" w:rsidTr="00017188">
        <w:trPr>
          <w:trHeight w:val="947"/>
        </w:trPr>
        <w:tc>
          <w:tcPr>
            <w:tcW w:w="2269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59474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59474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834605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43280F" w:rsidRPr="00330EA0" w:rsidTr="00017188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>село</w:t>
            </w: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Эмануйловка</w:t>
            </w:r>
            <w:proofErr w:type="spellEnd"/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80F" w:rsidRPr="00330EA0" w:rsidRDefault="00594749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280F" w:rsidRPr="00330EA0" w:rsidRDefault="00834605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594749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9D354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330EA0" w:rsidRDefault="009D354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62"/>
        <w:gridCol w:w="1560"/>
        <w:gridCol w:w="1440"/>
        <w:gridCol w:w="1491"/>
        <w:gridCol w:w="2268"/>
        <w:gridCol w:w="2268"/>
        <w:gridCol w:w="1773"/>
        <w:gridCol w:w="1913"/>
      </w:tblGrid>
      <w:tr w:rsidR="0043280F" w:rsidRPr="00F860EF" w:rsidTr="00017188">
        <w:tc>
          <w:tcPr>
            <w:tcW w:w="1426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43280F" w:rsidRPr="00330EA0" w:rsidTr="00017188">
        <w:trPr>
          <w:trHeight w:val="1165"/>
        </w:trPr>
        <w:tc>
          <w:tcPr>
            <w:tcW w:w="1426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59474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91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59474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77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913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43280F" w:rsidRPr="00F860EF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</w:tcPr>
          <w:p w:rsidR="0043280F" w:rsidRPr="00F860EF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3280F" w:rsidRPr="00F860EF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43280F" w:rsidRPr="00F860EF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3" w:type="dxa"/>
          </w:tcPr>
          <w:p w:rsidR="0043280F" w:rsidRPr="00F860EF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1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</w:tcPr>
          <w:p w:rsidR="0043280F" w:rsidRPr="006047A1" w:rsidRDefault="00594749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43280F" w:rsidRPr="006047A1" w:rsidRDefault="009D3542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3" w:type="dxa"/>
            <w:vAlign w:val="center"/>
          </w:tcPr>
          <w:p w:rsidR="0043280F" w:rsidRPr="006047A1" w:rsidRDefault="009D3542" w:rsidP="009D35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</w:t>
            </w: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43280F" w:rsidRPr="006047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43280F" w:rsidRPr="006047A1" w:rsidRDefault="009D354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3" w:type="dxa"/>
            <w:vAlign w:val="center"/>
          </w:tcPr>
          <w:p w:rsidR="0043280F" w:rsidRPr="006047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43280F" w:rsidRPr="00810E09" w:rsidRDefault="0043280F" w:rsidP="00017188">
            <w:pPr>
              <w:jc w:val="center"/>
              <w:rPr>
                <w:sz w:val="20"/>
                <w:szCs w:val="20"/>
              </w:rPr>
            </w:pPr>
            <w:r w:rsidRPr="00810E09">
              <w:rPr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268"/>
        <w:gridCol w:w="2504"/>
        <w:gridCol w:w="1301"/>
        <w:gridCol w:w="1920"/>
      </w:tblGrid>
      <w:tr w:rsidR="0043280F" w:rsidRPr="00EE2F13" w:rsidTr="00017188">
        <w:tc>
          <w:tcPr>
            <w:tcW w:w="1788" w:type="dxa"/>
            <w:vMerge w:val="restart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43280F" w:rsidRPr="00EE2F13" w:rsidRDefault="0043280F" w:rsidP="00017188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43280F" w:rsidRPr="00EE2F13" w:rsidTr="00017188">
        <w:trPr>
          <w:trHeight w:val="934"/>
        </w:trPr>
        <w:tc>
          <w:tcPr>
            <w:tcW w:w="1788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594749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8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 w:rsidR="00594749">
              <w:rPr>
                <w:rFonts w:ascii="Times New Roman" w:hAnsi="Times New Roman" w:cs="Times New Roman"/>
                <w:i/>
              </w:rPr>
              <w:t>15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EE2F13" w:rsidRDefault="0043280F" w:rsidP="00594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594749">
              <w:rPr>
                <w:rFonts w:ascii="Times New Roman" w:hAnsi="Times New Roman" w:cs="Times New Roman"/>
                <w:i/>
              </w:rPr>
              <w:t>6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CD4AB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7" w:type="dxa"/>
          </w:tcPr>
          <w:p w:rsidR="0043280F" w:rsidRPr="00210A57" w:rsidRDefault="00CD4AB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</w:tcPr>
          <w:p w:rsidR="0043280F" w:rsidRPr="00210A57" w:rsidRDefault="009D354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04" w:type="dxa"/>
          </w:tcPr>
          <w:p w:rsidR="0043280F" w:rsidRPr="00210A57" w:rsidRDefault="00CD4AB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01" w:type="dxa"/>
          </w:tcPr>
          <w:p w:rsidR="0043280F" w:rsidRPr="00210A57" w:rsidRDefault="00CD4AB2" w:rsidP="009D3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3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43280F" w:rsidRPr="00210A57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4" w:type="dxa"/>
            <w:vAlign w:val="center"/>
          </w:tcPr>
          <w:p w:rsidR="0043280F" w:rsidRPr="00210A57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1" w:type="dxa"/>
            <w:vAlign w:val="center"/>
          </w:tcPr>
          <w:p w:rsidR="0043280F" w:rsidRPr="00210A57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</w:t>
            </w:r>
            <w:r w:rsidRPr="00210A57">
              <w:rPr>
                <w:rFonts w:ascii="Times New Roman" w:hAnsi="Times New Roman" w:cs="Times New Roman"/>
              </w:rPr>
              <w:lastRenderedPageBreak/>
              <w:t>сти  кадрами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%</w:t>
            </w:r>
          </w:p>
        </w:tc>
        <w:tc>
          <w:tcPr>
            <w:tcW w:w="2164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7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4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01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43280F" w:rsidRPr="003F275C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43280F" w:rsidRPr="00352D47" w:rsidTr="00017188"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Технический паспорт учреждения:</w:t>
            </w:r>
          </w:p>
          <w:p w:rsidR="0043280F" w:rsidRPr="00F343B2" w:rsidRDefault="0043280F" w:rsidP="00017188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- да</w:t>
            </w:r>
          </w:p>
          <w:p w:rsidR="0043280F" w:rsidRPr="00F343B2" w:rsidRDefault="0043280F" w:rsidP="00017188">
            <w:r w:rsidRPr="00F343B2">
              <w:t>Наличие инвентарных описей основных средств.</w:t>
            </w:r>
          </w:p>
          <w:p w:rsidR="0043280F" w:rsidRPr="00F343B2" w:rsidRDefault="0043280F" w:rsidP="00017188">
            <w:r w:rsidRPr="00F343B2">
              <w:t>- наличие</w:t>
            </w:r>
          </w:p>
        </w:tc>
      </w:tr>
    </w:tbl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43280F" w:rsidRPr="00DD1E9D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43280F" w:rsidRPr="00DD1E9D" w:rsidRDefault="0043280F" w:rsidP="0043280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43280F" w:rsidRPr="00352D47" w:rsidTr="00017188"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3280F" w:rsidRPr="00352D47" w:rsidTr="00017188">
        <w:trPr>
          <w:trHeight w:val="1365"/>
        </w:trPr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lastRenderedPageBreak/>
              <w:t xml:space="preserve">на информационных стендах (уголках получателей услуг), размещаемых в каждом учреждении; 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43280F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43280F" w:rsidRPr="00330EA0" w:rsidRDefault="0043280F" w:rsidP="0043280F">
      <w:pPr>
        <w:spacing w:line="1" w:lineRule="exact"/>
        <w:rPr>
          <w:sz w:val="20"/>
          <w:szCs w:val="20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43280F" w:rsidRPr="00352D47" w:rsidTr="00017188">
        <w:trPr>
          <w:trHeight w:val="451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43280F" w:rsidRPr="00352D47" w:rsidTr="00017188">
        <w:trPr>
          <w:trHeight w:val="30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6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60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494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43280F" w:rsidRPr="00352D47" w:rsidTr="00017188">
        <w:trPr>
          <w:trHeight w:val="579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  <w:vAlign w:val="center"/>
          </w:tcPr>
          <w:p w:rsidR="0043280F" w:rsidRPr="00A236A1" w:rsidRDefault="009D3542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  <w:vAlign w:val="center"/>
          </w:tcPr>
          <w:p w:rsidR="0043280F" w:rsidRPr="00A236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280F" w:rsidRPr="00352D47" w:rsidTr="00017188">
        <w:trPr>
          <w:trHeight w:val="54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553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43280F" w:rsidRPr="00A236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3280F" w:rsidRPr="00A236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3280F" w:rsidRPr="00A236A1" w:rsidRDefault="009D3542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362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lastRenderedPageBreak/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lastRenderedPageBreak/>
              <w:t xml:space="preserve">ежеквартально, </w:t>
            </w:r>
            <w:r w:rsidRPr="00330EA0">
              <w:rPr>
                <w:sz w:val="20"/>
                <w:szCs w:val="20"/>
              </w:rPr>
              <w:lastRenderedPageBreak/>
              <w:t xml:space="preserve">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 xml:space="preserve">руководитель учреждения 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и его заместители</w:t>
            </w:r>
          </w:p>
        </w:tc>
      </w:tr>
      <w:tr w:rsidR="0043280F" w:rsidRPr="00330EA0" w:rsidTr="00017188">
        <w:trPr>
          <w:trHeight w:val="1645"/>
        </w:trPr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rPr>
          <w:trHeight w:val="553"/>
        </w:trPr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43280F" w:rsidRPr="00352D47" w:rsidTr="00017188">
        <w:tc>
          <w:tcPr>
            <w:tcW w:w="15636" w:type="dxa"/>
            <w:gridSpan w:val="5"/>
          </w:tcPr>
          <w:p w:rsidR="0043280F" w:rsidRPr="00352D47" w:rsidRDefault="0043280F" w:rsidP="00017188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  <w:r w:rsidR="00CD4AB2">
              <w:rPr>
                <w:b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  <w:r w:rsidR="00CD4AB2">
              <w:rPr>
                <w:b/>
                <w:sz w:val="20"/>
                <w:szCs w:val="20"/>
              </w:rPr>
              <w:t xml:space="preserve">количество кружков </w:t>
            </w:r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3127" w:type="dxa"/>
          </w:tcPr>
          <w:p w:rsidR="0043280F" w:rsidRPr="00352D47" w:rsidRDefault="009D3542" w:rsidP="00017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AA1039" w:rsidRPr="006F1C22" w:rsidRDefault="00AA1039" w:rsidP="00AA1039">
      <w:pPr>
        <w:pStyle w:val="ConsPlusNonforma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>10.2. Периодичность предоставления отчетности о выполнении муниципального задания: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ежегодно в срок до 12 января следующего за отчетным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.</w:t>
      </w:r>
      <w:proofErr w:type="gramEnd"/>
    </w:p>
    <w:p w:rsidR="00AA1039" w:rsidRPr="006F1C22" w:rsidRDefault="00AA1039" w:rsidP="00AA1039">
      <w:pPr>
        <w:rPr>
          <w:b/>
        </w:rPr>
      </w:pPr>
    </w:p>
    <w:p w:rsidR="00AA1039" w:rsidRPr="006F1C22" w:rsidRDefault="00AA1039" w:rsidP="00AA1039">
      <w:pPr>
        <w:pStyle w:val="ConsPlusNonformat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 xml:space="preserve">10.3. Иные требования к отчетности о выполнении муниципального задания 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>за</w:t>
      </w:r>
      <w:proofErr w:type="gramEnd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отчётным;</w:t>
      </w:r>
    </w:p>
    <w:p w:rsidR="00AA1039" w:rsidRPr="006F1C22" w:rsidRDefault="00AA1039" w:rsidP="00AA1039">
      <w:pPr>
        <w:ind w:firstLine="540"/>
        <w:jc w:val="both"/>
        <w:rPr>
          <w:lang w:bidi="ru-RU"/>
        </w:rPr>
      </w:pPr>
      <w:r w:rsidRPr="006F1C22">
        <w:rPr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AA1039" w:rsidRPr="006F1C22" w:rsidRDefault="00AA1039" w:rsidP="00AA1039">
      <w:pPr>
        <w:rPr>
          <w:b/>
        </w:rPr>
      </w:pPr>
    </w:p>
    <w:p w:rsidR="00AA1039" w:rsidRPr="006F1C22" w:rsidRDefault="00AA1039" w:rsidP="00AA1039">
      <w:pPr>
        <w:pStyle w:val="a5"/>
        <w:rPr>
          <w:sz w:val="24"/>
          <w:szCs w:val="24"/>
        </w:rPr>
      </w:pPr>
      <w:r w:rsidRPr="006F1C22">
        <w:rPr>
          <w:b/>
          <w:sz w:val="24"/>
          <w:szCs w:val="24"/>
        </w:rPr>
        <w:t>11. Иная информация, необходимая для выполнения (контроля  за выполнением) муниципального задания</w:t>
      </w:r>
      <w:r>
        <w:rPr>
          <w:b/>
          <w:sz w:val="24"/>
          <w:szCs w:val="24"/>
        </w:rPr>
        <w:t xml:space="preserve"> </w:t>
      </w:r>
      <w:r w:rsidRPr="006F1C22">
        <w:rPr>
          <w:sz w:val="24"/>
          <w:szCs w:val="24"/>
          <w:lang w:bidi="ru-RU"/>
        </w:rPr>
        <w:t xml:space="preserve"> При необходимости учреждение представляет  в </w:t>
      </w:r>
      <w:r w:rsidRPr="006F1C22">
        <w:rPr>
          <w:sz w:val="24"/>
          <w:szCs w:val="24"/>
        </w:rPr>
        <w:t xml:space="preserve"> администрацию Большеугонского сельсовета Льговского района </w:t>
      </w:r>
      <w:r w:rsidRPr="006F1C22">
        <w:rPr>
          <w:sz w:val="24"/>
          <w:szCs w:val="24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</w:t>
      </w:r>
      <w:proofErr w:type="gramStart"/>
      <w:r w:rsidRPr="006F1C22">
        <w:rPr>
          <w:sz w:val="24"/>
          <w:szCs w:val="24"/>
          <w:lang w:bidi="ru-RU"/>
        </w:rPr>
        <w:t>.»</w:t>
      </w:r>
      <w:r w:rsidRPr="006F1C22">
        <w:rPr>
          <w:kern w:val="2"/>
          <w:sz w:val="24"/>
          <w:szCs w:val="24"/>
        </w:rPr>
        <w:t xml:space="preserve">    </w:t>
      </w:r>
      <w:proofErr w:type="gramEnd"/>
    </w:p>
    <w:p w:rsidR="00AA1039" w:rsidRPr="006F1C22" w:rsidRDefault="00AA1039" w:rsidP="00AA1039"/>
    <w:p w:rsidR="00AA1039" w:rsidRPr="006F1C22" w:rsidRDefault="00AA1039" w:rsidP="00AA1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3542" w:rsidRDefault="009D3542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3542" w:rsidRDefault="009D3542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3542" w:rsidRDefault="009D3542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3542" w:rsidRDefault="009D3542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                                   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Льговского района Курской области                                                                                                                                                                                                             </w:t>
      </w:r>
    </w:p>
    <w:p w:rsidR="0043280F" w:rsidRPr="00C6703E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«</w:t>
      </w:r>
      <w:r w:rsidR="00CD4AB2">
        <w:rPr>
          <w:rFonts w:ascii="Times New Roman" w:hAnsi="Times New Roman" w:cs="Times New Roman"/>
        </w:rPr>
        <w:t xml:space="preserve">17»января </w:t>
      </w:r>
      <w:r w:rsidR="004545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CD4AB2">
        <w:rPr>
          <w:rFonts w:ascii="Times New Roman" w:hAnsi="Times New Roman" w:cs="Times New Roman"/>
        </w:rPr>
        <w:t>4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bookmarkStart w:id="0" w:name="_GoBack"/>
      <w:bookmarkEnd w:id="0"/>
      <w:r w:rsidR="009D3542">
        <w:rPr>
          <w:rFonts w:ascii="Times New Roman" w:hAnsi="Times New Roman" w:cs="Times New Roman"/>
        </w:rPr>
        <w:t>09</w:t>
      </w:r>
    </w:p>
    <w:p w:rsidR="0043280F" w:rsidRDefault="0043280F" w:rsidP="004328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0F" w:rsidRPr="00934BD7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43280F" w:rsidRPr="00230333" w:rsidRDefault="00531BAE" w:rsidP="0043280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43280F" w:rsidRPr="002303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3280F" w:rsidRPr="00230333">
        <w:rPr>
          <w:rFonts w:ascii="Times New Roman" w:hAnsi="Times New Roman" w:cs="Times New Roman"/>
          <w:b/>
          <w:sz w:val="28"/>
          <w:szCs w:val="28"/>
        </w:rPr>
        <w:t>Мало-Угонский</w:t>
      </w:r>
      <w:proofErr w:type="spellEnd"/>
      <w:r w:rsidR="0043280F" w:rsidRPr="00230333">
        <w:rPr>
          <w:rFonts w:ascii="Times New Roman" w:hAnsi="Times New Roman" w:cs="Times New Roman"/>
          <w:b/>
          <w:sz w:val="28"/>
          <w:szCs w:val="28"/>
        </w:rPr>
        <w:t xml:space="preserve"> СК»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(филиал Больше</w:t>
      </w:r>
      <w:r w:rsidR="00531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1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ЦСДК)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CD4AB2">
        <w:rPr>
          <w:rFonts w:ascii="Times New Roman" w:hAnsi="Times New Roman" w:cs="Times New Roman"/>
          <w:b/>
          <w:sz w:val="28"/>
          <w:szCs w:val="28"/>
        </w:rPr>
        <w:t>4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CD4AB2">
        <w:rPr>
          <w:rFonts w:ascii="Times New Roman" w:hAnsi="Times New Roman" w:cs="Times New Roman"/>
          <w:b/>
          <w:sz w:val="28"/>
          <w:szCs w:val="28"/>
        </w:rPr>
        <w:t>5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CD4AB2">
        <w:rPr>
          <w:rFonts w:ascii="Times New Roman" w:hAnsi="Times New Roman" w:cs="Times New Roman"/>
          <w:b/>
          <w:sz w:val="28"/>
          <w:szCs w:val="28"/>
        </w:rPr>
        <w:t>6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3280F" w:rsidRPr="006047A1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0F" w:rsidRDefault="0043280F" w:rsidP="0043280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>
        <w:rPr>
          <w:rFonts w:ascii="Times New Roman" w:hAnsi="Times New Roman" w:cs="Times New Roman"/>
          <w:b/>
        </w:rPr>
        <w:t xml:space="preserve"> Больше – </w:t>
      </w:r>
      <w:proofErr w:type="spellStart"/>
      <w:r>
        <w:rPr>
          <w:rFonts w:ascii="Times New Roman" w:hAnsi="Times New Roman" w:cs="Times New Roman"/>
          <w:b/>
        </w:rPr>
        <w:t>Угонского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сельсоветаЛьговского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43280F" w:rsidRPr="00352D47" w:rsidTr="00017188"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43280F" w:rsidRPr="00352D47" w:rsidTr="00017188"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43280F" w:rsidRPr="00352D47" w:rsidTr="00017188"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2552"/>
        <w:gridCol w:w="2268"/>
        <w:gridCol w:w="2268"/>
        <w:gridCol w:w="2126"/>
      </w:tblGrid>
      <w:tr w:rsidR="0043280F" w:rsidRPr="00330EA0" w:rsidTr="00017188">
        <w:tc>
          <w:tcPr>
            <w:tcW w:w="2269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56" w:type="dxa"/>
            <w:gridSpan w:val="5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3280F" w:rsidRPr="00330EA0" w:rsidTr="00017188">
        <w:trPr>
          <w:trHeight w:val="947"/>
        </w:trPr>
        <w:tc>
          <w:tcPr>
            <w:tcW w:w="2269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CD4AB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CD4AB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43280F" w:rsidRPr="00330EA0" w:rsidTr="00017188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>села</w:t>
            </w: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Малые Угоны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80F" w:rsidRPr="00330EA0" w:rsidRDefault="00CD4AB2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280F" w:rsidRPr="00330EA0" w:rsidRDefault="00CD4AB2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CD4AB2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CD4AB2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330EA0" w:rsidRDefault="00CD4AB2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290F03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62"/>
        <w:gridCol w:w="1560"/>
        <w:gridCol w:w="1440"/>
        <w:gridCol w:w="1491"/>
        <w:gridCol w:w="2268"/>
        <w:gridCol w:w="2268"/>
        <w:gridCol w:w="1773"/>
        <w:gridCol w:w="1913"/>
      </w:tblGrid>
      <w:tr w:rsidR="0043280F" w:rsidRPr="00F860EF" w:rsidTr="00017188">
        <w:tc>
          <w:tcPr>
            <w:tcW w:w="1426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43280F" w:rsidRPr="00330EA0" w:rsidTr="00017188">
        <w:trPr>
          <w:trHeight w:val="1165"/>
        </w:trPr>
        <w:tc>
          <w:tcPr>
            <w:tcW w:w="1426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CD4AB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91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CD4AB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77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913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3280F" w:rsidRPr="00F860EF" w:rsidRDefault="00290F03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3280F" w:rsidRPr="00F860EF" w:rsidRDefault="00290F03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3" w:type="dxa"/>
          </w:tcPr>
          <w:p w:rsidR="0043280F" w:rsidRPr="00F860EF" w:rsidRDefault="00290F03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43280F" w:rsidRPr="006047A1" w:rsidRDefault="00290F03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:rsidR="0043280F" w:rsidRPr="006047A1" w:rsidRDefault="00290F03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3" w:type="dxa"/>
            <w:vAlign w:val="center"/>
          </w:tcPr>
          <w:p w:rsidR="0043280F" w:rsidRPr="006047A1" w:rsidRDefault="00290F03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43280F" w:rsidRPr="00810E09" w:rsidRDefault="0043280F" w:rsidP="00017188">
            <w:pPr>
              <w:jc w:val="center"/>
              <w:rPr>
                <w:sz w:val="20"/>
                <w:szCs w:val="20"/>
              </w:rPr>
            </w:pPr>
            <w:r w:rsidRPr="00810E09">
              <w:rPr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268"/>
        <w:gridCol w:w="2504"/>
        <w:gridCol w:w="1301"/>
        <w:gridCol w:w="1920"/>
      </w:tblGrid>
      <w:tr w:rsidR="0043280F" w:rsidRPr="00EE2F13" w:rsidTr="00017188">
        <w:tc>
          <w:tcPr>
            <w:tcW w:w="1788" w:type="dxa"/>
            <w:vMerge w:val="restart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43280F" w:rsidRPr="00EE2F13" w:rsidRDefault="0043280F" w:rsidP="00017188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43280F" w:rsidRPr="00EE2F13" w:rsidTr="00017188">
        <w:trPr>
          <w:trHeight w:val="934"/>
        </w:trPr>
        <w:tc>
          <w:tcPr>
            <w:tcW w:w="1788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CD4AB2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8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EE2F13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EE2F13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EE2F13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CD4AB2">
              <w:rPr>
                <w:rFonts w:ascii="Times New Roman" w:hAnsi="Times New Roman" w:cs="Times New Roman"/>
                <w:i/>
              </w:rPr>
              <w:t>6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545CD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4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43280F" w:rsidRPr="00210A5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4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280F" w:rsidRPr="00210A5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4A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4" w:type="dxa"/>
          </w:tcPr>
          <w:p w:rsidR="0043280F" w:rsidRPr="00210A5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4A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</w:tcPr>
          <w:p w:rsidR="0043280F" w:rsidRPr="00210A57" w:rsidRDefault="00290F03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4545CD" w:rsidRDefault="004545CD" w:rsidP="00017188">
            <w:pPr>
              <w:jc w:val="center"/>
              <w:rPr>
                <w:i/>
              </w:rPr>
            </w:pPr>
          </w:p>
          <w:p w:rsidR="0043280F" w:rsidRDefault="0043280F" w:rsidP="00017188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7" w:type="dxa"/>
          </w:tcPr>
          <w:p w:rsidR="0043280F" w:rsidRPr="00210A57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4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01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43280F" w:rsidRPr="003F275C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43280F" w:rsidRPr="00352D47" w:rsidTr="00017188"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Технический паспорт учреждения:</w:t>
            </w:r>
          </w:p>
          <w:p w:rsidR="0043280F" w:rsidRPr="00F343B2" w:rsidRDefault="0043280F" w:rsidP="00017188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- да</w:t>
            </w:r>
          </w:p>
          <w:p w:rsidR="0043280F" w:rsidRPr="00F343B2" w:rsidRDefault="0043280F" w:rsidP="00017188">
            <w:r w:rsidRPr="00F343B2">
              <w:t>Наличие инвентарных описей основных средств.</w:t>
            </w:r>
          </w:p>
          <w:p w:rsidR="0043280F" w:rsidRPr="00F343B2" w:rsidRDefault="0043280F" w:rsidP="00017188">
            <w:r w:rsidRPr="00F343B2">
              <w:t>- наличие</w:t>
            </w:r>
          </w:p>
        </w:tc>
      </w:tr>
    </w:tbl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43280F" w:rsidRPr="00DD1E9D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43280F" w:rsidRPr="00DD1E9D" w:rsidRDefault="0043280F" w:rsidP="0043280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43280F" w:rsidRPr="00352D47" w:rsidTr="00017188"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3280F" w:rsidRPr="00352D47" w:rsidTr="00017188">
        <w:trPr>
          <w:trHeight w:val="1365"/>
        </w:trPr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lastRenderedPageBreak/>
              <w:t xml:space="preserve">на информационных стендах (уголках получателей услуг), размещаемых в каждом учреждении; 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43280F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43280F" w:rsidRPr="00330EA0" w:rsidRDefault="0043280F" w:rsidP="0043280F">
      <w:pPr>
        <w:spacing w:line="1" w:lineRule="exact"/>
        <w:rPr>
          <w:sz w:val="20"/>
          <w:szCs w:val="20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43280F" w:rsidRPr="00352D47" w:rsidTr="00017188">
        <w:trPr>
          <w:trHeight w:val="451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43280F" w:rsidRPr="00352D47" w:rsidTr="00017188">
        <w:trPr>
          <w:trHeight w:val="30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3280F" w:rsidRPr="00352D47" w:rsidRDefault="0043280F" w:rsidP="00290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90F03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290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90F03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290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290F03">
              <w:rPr>
                <w:rFonts w:ascii="Times New Roman" w:hAnsi="Times New Roman" w:cs="Times New Roman"/>
                <w:b/>
              </w:rPr>
              <w:t>6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60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494" w:type="dxa"/>
            <w:vAlign w:val="center"/>
          </w:tcPr>
          <w:p w:rsidR="0043280F" w:rsidRPr="00352D47" w:rsidRDefault="0043280F" w:rsidP="00CD4A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CD4AB2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43280F" w:rsidRPr="00352D47" w:rsidTr="00017188">
        <w:trPr>
          <w:trHeight w:val="579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0F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4A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280F" w:rsidRPr="00352D47" w:rsidTr="00017188">
        <w:trPr>
          <w:trHeight w:val="54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553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362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43280F" w:rsidRPr="00A236A1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Align w:val="center"/>
          </w:tcPr>
          <w:p w:rsidR="0043280F" w:rsidRPr="00A236A1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Align w:val="center"/>
          </w:tcPr>
          <w:p w:rsidR="0043280F" w:rsidRPr="00A236A1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lastRenderedPageBreak/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lastRenderedPageBreak/>
              <w:t xml:space="preserve">ежеквартально, </w:t>
            </w:r>
            <w:r w:rsidRPr="00330EA0">
              <w:rPr>
                <w:sz w:val="20"/>
                <w:szCs w:val="20"/>
              </w:rPr>
              <w:lastRenderedPageBreak/>
              <w:t xml:space="preserve">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 xml:space="preserve">руководитель учреждения 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0F" w:rsidRPr="00330EA0" w:rsidTr="00017188">
        <w:trPr>
          <w:trHeight w:val="1645"/>
        </w:trPr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rPr>
          <w:trHeight w:val="553"/>
        </w:trPr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43280F" w:rsidRPr="00352D47" w:rsidTr="00017188">
        <w:tc>
          <w:tcPr>
            <w:tcW w:w="15636" w:type="dxa"/>
            <w:gridSpan w:val="5"/>
          </w:tcPr>
          <w:p w:rsidR="0043280F" w:rsidRPr="00352D47" w:rsidRDefault="0043280F" w:rsidP="00017188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  <w:r w:rsidR="00CD4AB2">
              <w:rPr>
                <w:b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3127" w:type="dxa"/>
          </w:tcPr>
          <w:p w:rsidR="0043280F" w:rsidRPr="00352D47" w:rsidRDefault="00290F03" w:rsidP="00290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3127" w:type="dxa"/>
          </w:tcPr>
          <w:p w:rsidR="0043280F" w:rsidRPr="00352D47" w:rsidRDefault="00290F03" w:rsidP="00290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127" w:type="dxa"/>
          </w:tcPr>
          <w:p w:rsidR="0043280F" w:rsidRPr="00352D47" w:rsidRDefault="0043280F" w:rsidP="00290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  <w:r w:rsidR="00CD4AB2">
              <w:rPr>
                <w:b/>
                <w:sz w:val="20"/>
                <w:szCs w:val="20"/>
              </w:rPr>
              <w:t xml:space="preserve">количество кружков </w:t>
            </w:r>
          </w:p>
        </w:tc>
        <w:tc>
          <w:tcPr>
            <w:tcW w:w="3127" w:type="dxa"/>
          </w:tcPr>
          <w:p w:rsidR="0043280F" w:rsidRPr="00352D47" w:rsidRDefault="00290F03" w:rsidP="00290F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127" w:type="dxa"/>
          </w:tcPr>
          <w:p w:rsidR="0043280F" w:rsidRPr="00352D47" w:rsidRDefault="00290F03" w:rsidP="00290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27" w:type="dxa"/>
          </w:tcPr>
          <w:p w:rsidR="0043280F" w:rsidRPr="00352D47" w:rsidRDefault="0043280F" w:rsidP="00290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AA1039" w:rsidRPr="006F1C22" w:rsidRDefault="00AA1039" w:rsidP="00AA1039">
      <w:pPr>
        <w:pStyle w:val="ConsPlusNonformat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>10.2. Периодичность предоставления отчетности о выполнении муниципального задания: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ежегодно в срок до 12 января следующего за отчетным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.</w:t>
      </w:r>
      <w:proofErr w:type="gramEnd"/>
    </w:p>
    <w:p w:rsidR="00AA1039" w:rsidRPr="006F1C22" w:rsidRDefault="00AA1039" w:rsidP="00AA1039">
      <w:pPr>
        <w:rPr>
          <w:b/>
        </w:rPr>
      </w:pPr>
    </w:p>
    <w:p w:rsidR="00AA1039" w:rsidRPr="006F1C22" w:rsidRDefault="00AA1039" w:rsidP="00AA1039">
      <w:pPr>
        <w:pStyle w:val="ConsPlusNonformat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F1C22">
        <w:rPr>
          <w:rFonts w:ascii="Times New Roman" w:hAnsi="Times New Roman"/>
          <w:b/>
          <w:sz w:val="24"/>
          <w:szCs w:val="24"/>
        </w:rPr>
        <w:t xml:space="preserve">10.3. Иные требования к отчетности о выполнении муниципального задания </w:t>
      </w:r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>за</w:t>
      </w:r>
      <w:proofErr w:type="gramEnd"/>
      <w:r w:rsidRPr="006F1C2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отчётным;</w:t>
      </w:r>
    </w:p>
    <w:p w:rsidR="00AA1039" w:rsidRPr="006F1C22" w:rsidRDefault="00AA1039" w:rsidP="00AA1039">
      <w:pPr>
        <w:ind w:firstLine="540"/>
        <w:jc w:val="both"/>
        <w:rPr>
          <w:lang w:bidi="ru-RU"/>
        </w:rPr>
      </w:pPr>
      <w:r w:rsidRPr="006F1C22">
        <w:rPr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AA1039" w:rsidRPr="006F1C22" w:rsidRDefault="00AA1039" w:rsidP="00AA1039">
      <w:pPr>
        <w:rPr>
          <w:b/>
        </w:rPr>
      </w:pPr>
    </w:p>
    <w:p w:rsidR="00AA1039" w:rsidRPr="006F1C22" w:rsidRDefault="00AA1039" w:rsidP="00AA1039">
      <w:pPr>
        <w:pStyle w:val="a5"/>
        <w:rPr>
          <w:sz w:val="24"/>
          <w:szCs w:val="24"/>
        </w:rPr>
      </w:pPr>
      <w:r w:rsidRPr="006F1C22">
        <w:rPr>
          <w:b/>
          <w:sz w:val="24"/>
          <w:szCs w:val="24"/>
        </w:rPr>
        <w:t>11. Иная информация, необходимая для выполнения (контроля  за выполнением) муниципального задания</w:t>
      </w:r>
      <w:r>
        <w:rPr>
          <w:b/>
          <w:sz w:val="24"/>
          <w:szCs w:val="24"/>
        </w:rPr>
        <w:t xml:space="preserve"> </w:t>
      </w:r>
      <w:r w:rsidRPr="006F1C22">
        <w:rPr>
          <w:sz w:val="24"/>
          <w:szCs w:val="24"/>
          <w:lang w:bidi="ru-RU"/>
        </w:rPr>
        <w:t xml:space="preserve"> При необходимости учреждение представляет  в </w:t>
      </w:r>
      <w:r w:rsidRPr="006F1C22">
        <w:rPr>
          <w:sz w:val="24"/>
          <w:szCs w:val="24"/>
        </w:rPr>
        <w:t xml:space="preserve"> администрацию Большеугонского сельсовета Льговского района </w:t>
      </w:r>
      <w:r w:rsidRPr="006F1C22">
        <w:rPr>
          <w:sz w:val="24"/>
          <w:szCs w:val="24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</w:t>
      </w:r>
      <w:proofErr w:type="gramStart"/>
      <w:r w:rsidRPr="006F1C22">
        <w:rPr>
          <w:sz w:val="24"/>
          <w:szCs w:val="24"/>
          <w:lang w:bidi="ru-RU"/>
        </w:rPr>
        <w:t>.»</w:t>
      </w:r>
      <w:r w:rsidRPr="006F1C22">
        <w:rPr>
          <w:kern w:val="2"/>
          <w:sz w:val="24"/>
          <w:szCs w:val="24"/>
        </w:rPr>
        <w:t xml:space="preserve">    </w:t>
      </w:r>
      <w:proofErr w:type="gramEnd"/>
    </w:p>
    <w:p w:rsidR="00AA1039" w:rsidRPr="006F1C22" w:rsidRDefault="00AA1039" w:rsidP="00AA1039"/>
    <w:p w:rsidR="00AA1039" w:rsidRPr="006F1C22" w:rsidRDefault="00AA1039" w:rsidP="00AA1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2887" w:rsidRDefault="00E52887"/>
    <w:sectPr w:rsidR="00E52887" w:rsidSect="008346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713"/>
    <w:multiLevelType w:val="hybridMultilevel"/>
    <w:tmpl w:val="D00E4EF0"/>
    <w:lvl w:ilvl="0" w:tplc="199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706"/>
    <w:multiLevelType w:val="hybridMultilevel"/>
    <w:tmpl w:val="E64A46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3F19DF"/>
    <w:multiLevelType w:val="hybridMultilevel"/>
    <w:tmpl w:val="B7CCC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70C"/>
    <w:multiLevelType w:val="hybridMultilevel"/>
    <w:tmpl w:val="11A655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746F5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C6589"/>
    <w:multiLevelType w:val="hybridMultilevel"/>
    <w:tmpl w:val="FAC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0B930EA"/>
    <w:multiLevelType w:val="hybridMultilevel"/>
    <w:tmpl w:val="42865B20"/>
    <w:lvl w:ilvl="0" w:tplc="89E46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96"/>
    <w:rsid w:val="00017188"/>
    <w:rsid w:val="00160E67"/>
    <w:rsid w:val="001B45DD"/>
    <w:rsid w:val="00290F03"/>
    <w:rsid w:val="00321343"/>
    <w:rsid w:val="0043280F"/>
    <w:rsid w:val="004545CD"/>
    <w:rsid w:val="00465358"/>
    <w:rsid w:val="004828A5"/>
    <w:rsid w:val="00531BAE"/>
    <w:rsid w:val="00594749"/>
    <w:rsid w:val="00692696"/>
    <w:rsid w:val="006A418E"/>
    <w:rsid w:val="00786CA0"/>
    <w:rsid w:val="00821CDC"/>
    <w:rsid w:val="00834605"/>
    <w:rsid w:val="009D3542"/>
    <w:rsid w:val="00A77196"/>
    <w:rsid w:val="00AA1039"/>
    <w:rsid w:val="00AD5EA2"/>
    <w:rsid w:val="00B41254"/>
    <w:rsid w:val="00C3688B"/>
    <w:rsid w:val="00C95DEC"/>
    <w:rsid w:val="00CD4AB2"/>
    <w:rsid w:val="00D02647"/>
    <w:rsid w:val="00DD716D"/>
    <w:rsid w:val="00E168C3"/>
    <w:rsid w:val="00E31F95"/>
    <w:rsid w:val="00E52887"/>
    <w:rsid w:val="00E74F75"/>
    <w:rsid w:val="00E82E7A"/>
    <w:rsid w:val="00ED79B7"/>
    <w:rsid w:val="00F3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8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43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28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3280F"/>
    <w:pPr>
      <w:ind w:left="708"/>
    </w:pPr>
  </w:style>
  <w:style w:type="paragraph" w:styleId="a5">
    <w:name w:val="Body Text"/>
    <w:basedOn w:val="a"/>
    <w:link w:val="a6"/>
    <w:rsid w:val="0043280F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328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2">
    <w:name w:val="Pro-List #2"/>
    <w:basedOn w:val="a"/>
    <w:link w:val="Pro-List20"/>
    <w:uiPriority w:val="99"/>
    <w:rsid w:val="0043280F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character" w:customStyle="1" w:styleId="TextNPA">
    <w:name w:val="Text NPA"/>
    <w:uiPriority w:val="99"/>
    <w:rsid w:val="0043280F"/>
    <w:rPr>
      <w:rFonts w:ascii="Courier New" w:hAnsi="Courier New"/>
    </w:rPr>
  </w:style>
  <w:style w:type="character" w:customStyle="1" w:styleId="Pro-List20">
    <w:name w:val="Pro-List #2 Знак"/>
    <w:link w:val="Pro-List2"/>
    <w:uiPriority w:val="99"/>
    <w:rsid w:val="0043280F"/>
    <w:rPr>
      <w:rFonts w:ascii="Georgia" w:eastAsia="Times New Roman" w:hAnsi="Georg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3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rsid w:val="004328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28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AA103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8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43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28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3280F"/>
    <w:pPr>
      <w:ind w:left="708"/>
    </w:pPr>
  </w:style>
  <w:style w:type="paragraph" w:styleId="a5">
    <w:name w:val="Body Text"/>
    <w:basedOn w:val="a"/>
    <w:link w:val="a6"/>
    <w:rsid w:val="0043280F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328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2">
    <w:name w:val="Pro-List #2"/>
    <w:basedOn w:val="a"/>
    <w:link w:val="Pro-List20"/>
    <w:uiPriority w:val="99"/>
    <w:rsid w:val="0043280F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character" w:customStyle="1" w:styleId="TextNPA">
    <w:name w:val="Text NPA"/>
    <w:uiPriority w:val="99"/>
    <w:rsid w:val="0043280F"/>
    <w:rPr>
      <w:rFonts w:ascii="Courier New" w:hAnsi="Courier New"/>
    </w:rPr>
  </w:style>
  <w:style w:type="character" w:customStyle="1" w:styleId="Pro-List20">
    <w:name w:val="Pro-List #2 Знак"/>
    <w:link w:val="Pro-List2"/>
    <w:uiPriority w:val="99"/>
    <w:rsid w:val="0043280F"/>
    <w:rPr>
      <w:rFonts w:ascii="Georgia" w:eastAsia="Times New Roman" w:hAnsi="Georg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3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rsid w:val="004328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28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C43C-A1DF-4501-825C-1BAE15AE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22</cp:revision>
  <cp:lastPrinted>2012-05-29T04:49:00Z</cp:lastPrinted>
  <dcterms:created xsi:type="dcterms:W3CDTF">2012-05-28T19:46:00Z</dcterms:created>
  <dcterms:modified xsi:type="dcterms:W3CDTF">2014-01-24T05:15:00Z</dcterms:modified>
</cp:coreProperties>
</file>