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1ECCB" w14:textId="77777777" w:rsidR="008861C7" w:rsidRDefault="008861C7" w:rsidP="008861C7">
      <w:pPr>
        <w:pStyle w:val="a3"/>
        <w:spacing w:before="195" w:beforeAutospacing="0" w:after="195" w:afterAutospacing="0"/>
        <w:jc w:val="center"/>
        <w:rPr>
          <w:rFonts w:ascii="PT-Astra-Sans-Regular" w:hAnsi="PT-Astra-Sans-Regular"/>
          <w:color w:val="134667"/>
          <w:sz w:val="23"/>
          <w:szCs w:val="23"/>
        </w:rPr>
      </w:pPr>
      <w:r>
        <w:rPr>
          <w:rStyle w:val="a4"/>
          <w:rFonts w:ascii="PT-Astra-Sans-Regular" w:hAnsi="PT-Astra-Sans-Regular"/>
          <w:color w:val="134667"/>
          <w:sz w:val="23"/>
          <w:szCs w:val="23"/>
        </w:rPr>
        <w:t>Информация</w:t>
      </w:r>
    </w:p>
    <w:p w14:paraId="1845DC93" w14:textId="0E54E6D6" w:rsidR="008861C7" w:rsidRDefault="008861C7" w:rsidP="008861C7">
      <w:pPr>
        <w:pStyle w:val="a3"/>
        <w:spacing w:before="195" w:beforeAutospacing="0" w:after="195" w:afterAutospacing="0"/>
        <w:jc w:val="center"/>
        <w:rPr>
          <w:rFonts w:ascii="PT-Astra-Sans-Regular" w:hAnsi="PT-Astra-Sans-Regular"/>
          <w:color w:val="134667"/>
          <w:sz w:val="23"/>
          <w:szCs w:val="23"/>
        </w:rPr>
      </w:pPr>
      <w:r>
        <w:rPr>
          <w:rStyle w:val="a4"/>
          <w:rFonts w:ascii="PT-Astra-Sans-Regular" w:hAnsi="PT-Astra-Sans-Regular"/>
          <w:color w:val="134667"/>
          <w:sz w:val="23"/>
          <w:szCs w:val="23"/>
        </w:rPr>
        <w:t xml:space="preserve">о числе замещенных рабочих мест в субъектах малого и среднего предпринимательства по видам экономической деятельности на территории Большеугонского сельсовета Льговского района по состоянию </w:t>
      </w:r>
      <w:r w:rsidR="009E6B73">
        <w:rPr>
          <w:rStyle w:val="a4"/>
          <w:rFonts w:ascii="PT-Astra-Sans-Regular" w:hAnsi="PT-Astra-Sans-Regular"/>
          <w:color w:val="134667"/>
          <w:sz w:val="23"/>
          <w:szCs w:val="23"/>
        </w:rPr>
        <w:t xml:space="preserve">                           </w:t>
      </w:r>
      <w:r>
        <w:rPr>
          <w:rStyle w:val="a4"/>
          <w:rFonts w:ascii="PT-Astra-Sans-Regular" w:hAnsi="PT-Astra-Sans-Regular"/>
          <w:color w:val="134667"/>
          <w:sz w:val="23"/>
          <w:szCs w:val="23"/>
        </w:rPr>
        <w:t>на 10.03.202</w:t>
      </w:r>
      <w:r>
        <w:rPr>
          <w:rStyle w:val="a4"/>
          <w:rFonts w:ascii="PT-Astra-Sans-Regular" w:hAnsi="PT-Astra-Sans-Regular"/>
          <w:color w:val="134667"/>
          <w:sz w:val="23"/>
          <w:szCs w:val="23"/>
        </w:rPr>
        <w:t>4</w:t>
      </w:r>
      <w:r>
        <w:rPr>
          <w:rStyle w:val="a4"/>
          <w:rFonts w:ascii="PT-Astra-Sans-Regular" w:hAnsi="PT-Astra-Sans-Regular"/>
          <w:color w:val="134667"/>
          <w:sz w:val="23"/>
          <w:szCs w:val="23"/>
        </w:rPr>
        <w:t xml:space="preserve"> года</w:t>
      </w:r>
    </w:p>
    <w:p w14:paraId="2FCB6CCC" w14:textId="77777777" w:rsidR="008861C7" w:rsidRPr="00E27F4E" w:rsidRDefault="008861C7" w:rsidP="008861C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27F4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500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B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3"/>
        <w:gridCol w:w="2946"/>
      </w:tblGrid>
      <w:tr w:rsidR="009E6B73" w:rsidRPr="00FF549A" w14:paraId="39E3BD01" w14:textId="77777777" w:rsidTr="00CE3F32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02377D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Виды экономической деятельности по ОКВЭД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177B58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9E6B73" w:rsidRPr="00FF549A" w14:paraId="1F501B13" w14:textId="77777777" w:rsidTr="00CE3F32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D6A7A0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Всего: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E9A446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2</w:t>
            </w:r>
            <w:r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5</w:t>
            </w:r>
          </w:p>
        </w:tc>
      </w:tr>
      <w:tr w:rsidR="009E6B73" w:rsidRPr="00FF549A" w14:paraId="2EE00734" w14:textId="77777777" w:rsidTr="00CE3F32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2B754D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3FFD2A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 </w:t>
            </w:r>
          </w:p>
        </w:tc>
      </w:tr>
      <w:tr w:rsidR="009E6B73" w:rsidRPr="00FF549A" w14:paraId="66BF376F" w14:textId="77777777" w:rsidTr="00CE3F32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8132A6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81058F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  <w:tr w:rsidR="009E6B73" w:rsidRPr="00FF549A" w14:paraId="4EB0AA7A" w14:textId="77777777" w:rsidTr="00CE3F32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BE7A29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6152C2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3</w:t>
            </w:r>
          </w:p>
        </w:tc>
      </w:tr>
      <w:tr w:rsidR="009E6B73" w:rsidRPr="00FF549A" w14:paraId="75B99324" w14:textId="77777777" w:rsidTr="00CE3F32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88E787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47.11.3 Деятельность по розничной торговле большим товарным ассортиментом с преобладанием продовольственных товаров в неспециализированных магазинах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2724C0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  <w:tr w:rsidR="009E6B73" w:rsidRPr="00FF549A" w14:paraId="3C7FEDB3" w14:textId="77777777" w:rsidTr="00CE3F32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4ED186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C8EEDA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3</w:t>
            </w:r>
          </w:p>
        </w:tc>
      </w:tr>
      <w:tr w:rsidR="009E6B73" w:rsidRPr="00FF549A" w14:paraId="0A2766B0" w14:textId="77777777" w:rsidTr="00CE3F32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CEB0F7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67AB68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  <w:tr w:rsidR="009E6B73" w:rsidRPr="00FF549A" w14:paraId="138940A2" w14:textId="77777777" w:rsidTr="00CE3F32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9B205E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01.13.12 Выращивание овощей защищенного грунта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3572FD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  <w:tr w:rsidR="009E6B73" w:rsidRPr="00FF549A" w14:paraId="463E7D56" w14:textId="77777777" w:rsidTr="00CE3F32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814FE9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lastRenderedPageBreak/>
              <w:t>46.21 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E354F1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  <w:tr w:rsidR="009E6B73" w:rsidRPr="00FF549A" w14:paraId="3EF7E9D3" w14:textId="77777777" w:rsidTr="00CE3F32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5B39A3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BF038C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  <w:tr w:rsidR="009E6B73" w:rsidRPr="00FF549A" w14:paraId="173DD908" w14:textId="77777777" w:rsidTr="00CE3F32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D226EF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2C6C26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  <w:tr w:rsidR="009E6B73" w:rsidRPr="00FF549A" w14:paraId="5482B8DD" w14:textId="77777777" w:rsidTr="00CE3F32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BBB89C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01.47 Разведение сельскохозяйственной птицы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A6150F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  <w:tr w:rsidR="009E6B73" w:rsidRPr="00FF549A" w14:paraId="6298BB31" w14:textId="77777777" w:rsidTr="00CE3F32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FADD03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47.81 Торговля розничная в нестационарных торговых объектах и на рынках пищевыми продуктами, напитками и табачной продукцией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FD970D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  <w:tr w:rsidR="009E6B73" w:rsidRPr="00FF549A" w14:paraId="3021806E" w14:textId="77777777" w:rsidTr="00CE3F32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522F2E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33.12 Ремонт машин и оборудования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E8AC2A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  <w:tr w:rsidR="009E6B73" w:rsidRPr="00FF549A" w14:paraId="625350AE" w14:textId="77777777" w:rsidTr="00CE3F32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48C625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81.10 Деятельность по комплексному обслуживанию помещений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E6262C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  <w:tr w:rsidR="009E6B73" w:rsidRPr="00FF549A" w14:paraId="30A5D058" w14:textId="77777777" w:rsidTr="00CE3F32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4B163A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41.10 Разработка строительных проектов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A081F1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  <w:tr w:rsidR="009E6B73" w:rsidRPr="00FF549A" w14:paraId="63AB969A" w14:textId="77777777" w:rsidTr="00CE3F32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3698FB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>
              <w:t>47.91 - Торговля розничная по почте или по информационно-коммуникационной сети Интернет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97CD4C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2</w:t>
            </w:r>
          </w:p>
        </w:tc>
      </w:tr>
      <w:tr w:rsidR="009E6B73" w:rsidRPr="00FF549A" w14:paraId="3A297DAC" w14:textId="77777777" w:rsidTr="00CE3F32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BD826A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47.77.1 Торговля розничная часами в специализированных магазинах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40E8A3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 w:rsidRPr="00FF549A"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  <w:tr w:rsidR="009E6B73" w:rsidRPr="00FF549A" w14:paraId="042147D6" w14:textId="77777777" w:rsidTr="00CE3F32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C6FBC2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>
              <w:t>43.39 - Производство прочих отделочных и завершающих работ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B53E3C" w14:textId="77777777" w:rsidR="009E6B73" w:rsidRPr="00FF549A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  <w:tr w:rsidR="009E6B73" w:rsidRPr="00FF549A" w14:paraId="0D953CC8" w14:textId="77777777" w:rsidTr="00CE3F32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CD8D86" w14:textId="77777777" w:rsidR="009E6B73" w:rsidRDefault="009E6B73" w:rsidP="00CE3F32">
            <w:pPr>
              <w:spacing w:before="195" w:after="195" w:line="394" w:lineRule="atLeast"/>
            </w:pPr>
            <w:r>
              <w:t>96.09 - Предоставление прочих персональных услуг, не включенных в другие группировки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BB0AAB" w14:textId="77777777" w:rsidR="009E6B73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  <w:tr w:rsidR="009E6B73" w:rsidRPr="00FF549A" w14:paraId="50423037" w14:textId="77777777" w:rsidTr="00CE3F32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498565" w14:textId="77777777" w:rsidR="009E6B73" w:rsidRDefault="009E6B73" w:rsidP="00CE3F32">
            <w:pPr>
              <w:spacing w:before="195" w:after="195" w:line="394" w:lineRule="atLeast"/>
            </w:pPr>
            <w:r>
              <w:lastRenderedPageBreak/>
              <w:t>01.11.1 - Выращивание зерновых культур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8F4B21" w14:textId="77777777" w:rsidR="009E6B73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  <w:tr w:rsidR="009E6B73" w:rsidRPr="00FF549A" w14:paraId="26F63AB4" w14:textId="77777777" w:rsidTr="00CE3F32">
        <w:tc>
          <w:tcPr>
            <w:tcW w:w="6393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40984E" w14:textId="77777777" w:rsidR="009E6B73" w:rsidRDefault="009E6B73" w:rsidP="00CE3F32">
            <w:pPr>
              <w:spacing w:before="195" w:after="195" w:line="394" w:lineRule="atLeast"/>
            </w:pPr>
            <w:r>
              <w:t>77.32 - Аренда и лизинг строительных машин и оборудования</w:t>
            </w:r>
          </w:p>
        </w:tc>
        <w:tc>
          <w:tcPr>
            <w:tcW w:w="2946" w:type="dxa"/>
            <w:tcBorders>
              <w:top w:val="single" w:sz="6" w:space="0" w:color="85D6FF"/>
              <w:left w:val="single" w:sz="6" w:space="0" w:color="85D6FF"/>
              <w:bottom w:val="single" w:sz="6" w:space="0" w:color="85D6FF"/>
              <w:right w:val="single" w:sz="6" w:space="0" w:color="85D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1FB882" w14:textId="77777777" w:rsidR="009E6B73" w:rsidRDefault="009E6B73" w:rsidP="00CE3F32">
            <w:pPr>
              <w:spacing w:before="195" w:after="195" w:line="394" w:lineRule="atLeast"/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134667"/>
                <w:sz w:val="23"/>
                <w:szCs w:val="23"/>
                <w:lang w:eastAsia="ru-RU"/>
              </w:rPr>
              <w:t>1</w:t>
            </w:r>
          </w:p>
        </w:tc>
      </w:tr>
    </w:tbl>
    <w:p w14:paraId="4F36DF4F" w14:textId="77777777" w:rsidR="009E6B73" w:rsidRPr="00FF549A" w:rsidRDefault="009E6B73" w:rsidP="009E6B73">
      <w:pPr>
        <w:spacing w:before="195" w:after="195" w:line="240" w:lineRule="auto"/>
        <w:rPr>
          <w:rFonts w:ascii="PT-Astra-Sans-Regular" w:eastAsia="Times New Roman" w:hAnsi="PT-Astra-Sans-Regular" w:cs="Times New Roman"/>
          <w:color w:val="134667"/>
          <w:sz w:val="23"/>
          <w:szCs w:val="23"/>
          <w:lang w:eastAsia="ru-RU"/>
        </w:rPr>
      </w:pPr>
      <w:r w:rsidRPr="00FF549A">
        <w:rPr>
          <w:rFonts w:ascii="PT-Astra-Sans-Regular" w:eastAsia="Times New Roman" w:hAnsi="PT-Astra-Sans-Regular" w:cs="Times New Roman"/>
          <w:b/>
          <w:bCs/>
          <w:color w:val="134667"/>
          <w:sz w:val="23"/>
          <w:szCs w:val="23"/>
          <w:lang w:eastAsia="ru-RU"/>
        </w:rPr>
        <w:t> </w:t>
      </w:r>
    </w:p>
    <w:p w14:paraId="29A8B177" w14:textId="77777777" w:rsidR="008861C7" w:rsidRDefault="008861C7" w:rsidP="008861C7"/>
    <w:p w14:paraId="7F8AF2E8" w14:textId="77777777" w:rsidR="00FB2D9D" w:rsidRDefault="00FB2D9D"/>
    <w:sectPr w:rsidR="00FB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C7"/>
    <w:rsid w:val="008861C7"/>
    <w:rsid w:val="009E6B73"/>
    <w:rsid w:val="00FB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7EAD"/>
  <w15:chartTrackingRefBased/>
  <w15:docId w15:val="{EEE47752-B250-43BD-A3F0-9CB1A99F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7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1</cp:revision>
  <dcterms:created xsi:type="dcterms:W3CDTF">2024-04-05T07:44:00Z</dcterms:created>
  <dcterms:modified xsi:type="dcterms:W3CDTF">2024-04-05T08:22:00Z</dcterms:modified>
</cp:coreProperties>
</file>